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36" w:rsidRPr="006C3E36" w:rsidRDefault="006C3E36" w:rsidP="006C3E36">
      <w:pPr>
        <w:jc w:val="center"/>
        <w:rPr>
          <w:b/>
          <w:sz w:val="28"/>
          <w:szCs w:val="28"/>
        </w:rPr>
      </w:pPr>
      <w:r w:rsidRPr="006C3E36">
        <w:rPr>
          <w:b/>
          <w:sz w:val="28"/>
          <w:szCs w:val="28"/>
        </w:rPr>
        <w:t>Ταμείο Χρηματοπιστωτικής Σταθερότητας (ΤΧΣ)</w:t>
      </w:r>
    </w:p>
    <w:p w:rsidR="006C3E36" w:rsidRPr="004240D1" w:rsidRDefault="006C3E36" w:rsidP="006C3E36">
      <w:pPr>
        <w:jc w:val="both"/>
        <w:rPr>
          <w:sz w:val="28"/>
          <w:szCs w:val="28"/>
        </w:rPr>
      </w:pPr>
      <w:r w:rsidRPr="004240D1">
        <w:rPr>
          <w:sz w:val="28"/>
          <w:szCs w:val="28"/>
        </w:rPr>
        <w:t>Το Ταμείο Χρηματοπιστωτικής Σταθερότητας (ΤΧΣ) είναι ελληνική εταιρεία ειδικού σκοπού, που δημιουργήθηκε για να βοηθήσει στη σταθεροποίηση του ελληνικού τραπεζικού τομέα, εν μέσω της κρίσης του ελληνικού δημοσίου χρέους.</w:t>
      </w:r>
    </w:p>
    <w:p w:rsidR="006C3E36" w:rsidRPr="004240D1" w:rsidRDefault="006C3E36" w:rsidP="007E22A1">
      <w:pPr>
        <w:tabs>
          <w:tab w:val="left" w:pos="2370"/>
        </w:tabs>
        <w:jc w:val="both"/>
        <w:rPr>
          <w:b/>
          <w:sz w:val="28"/>
          <w:szCs w:val="28"/>
        </w:rPr>
      </w:pPr>
      <w:r w:rsidRPr="004240D1">
        <w:rPr>
          <w:b/>
          <w:sz w:val="28"/>
          <w:szCs w:val="28"/>
        </w:rPr>
        <w:t>Σχηματισμός</w:t>
      </w:r>
    </w:p>
    <w:p w:rsidR="004240D1" w:rsidRPr="00E91979" w:rsidRDefault="006C3E36" w:rsidP="006C3E36">
      <w:pPr>
        <w:jc w:val="both"/>
        <w:rPr>
          <w:sz w:val="28"/>
          <w:szCs w:val="28"/>
        </w:rPr>
      </w:pPr>
      <w:r w:rsidRPr="004240D1">
        <w:rPr>
          <w:sz w:val="28"/>
          <w:szCs w:val="28"/>
        </w:rPr>
        <w:t xml:space="preserve">Με έδρα την Αθήνα, το ΤΧΣ ιδρύθηκε τον Ιούλιο του 2010 βάσει του νόμου 3864/2010 ως νομικό πρόσωπο ιδιωτικού δικαίου (ΝΠΙΔ) με σκοπό να «συμβάλει στη διατήρηση της σταθερότητας του ελληνικού τραπεζικού συστήματος, για χάρη του δημόσιου συμφέροντος». </w:t>
      </w:r>
    </w:p>
    <w:p w:rsidR="004240D1" w:rsidRPr="00E91979" w:rsidRDefault="006C3E36" w:rsidP="006C3E36">
      <w:pPr>
        <w:jc w:val="both"/>
        <w:rPr>
          <w:sz w:val="28"/>
          <w:szCs w:val="28"/>
        </w:rPr>
      </w:pPr>
      <w:r w:rsidRPr="004240D1">
        <w:rPr>
          <w:sz w:val="28"/>
          <w:szCs w:val="28"/>
        </w:rPr>
        <w:t xml:space="preserve">Ξεκίνησε τη λειτουργία του στις 30 Σεπτεμβρίου του 2010 με το διορισμό των μελών του Διοικητικού Συμβουλίου του Ταμείου. </w:t>
      </w:r>
    </w:p>
    <w:p w:rsidR="006C3E36" w:rsidRDefault="006C3E36" w:rsidP="006C3E36">
      <w:pPr>
        <w:jc w:val="both"/>
        <w:rPr>
          <w:sz w:val="28"/>
          <w:szCs w:val="28"/>
        </w:rPr>
      </w:pPr>
      <w:r w:rsidRPr="004240D1">
        <w:rPr>
          <w:sz w:val="28"/>
          <w:szCs w:val="28"/>
        </w:rPr>
        <w:t>Το ταμείο ενισχύθηκε από το Ευρωπαϊκό Ταμείο Χρηματοπιστωτική</w:t>
      </w:r>
      <w:r w:rsidR="004240D1" w:rsidRPr="004240D1">
        <w:rPr>
          <w:sz w:val="28"/>
          <w:szCs w:val="28"/>
        </w:rPr>
        <w:t xml:space="preserve">ς Σταθερότητας (EFSF) με 50 </w:t>
      </w:r>
      <w:proofErr w:type="spellStart"/>
      <w:r w:rsidR="004240D1" w:rsidRPr="004240D1">
        <w:rPr>
          <w:sz w:val="28"/>
          <w:szCs w:val="28"/>
        </w:rPr>
        <w:t>δισεκ</w:t>
      </w:r>
      <w:proofErr w:type="spellEnd"/>
      <w:r w:rsidR="004240D1" w:rsidRPr="004240D1">
        <w:rPr>
          <w:sz w:val="28"/>
          <w:szCs w:val="28"/>
        </w:rPr>
        <w:t xml:space="preserve">. </w:t>
      </w:r>
      <w:r w:rsidRPr="004240D1">
        <w:rPr>
          <w:sz w:val="28"/>
          <w:szCs w:val="28"/>
        </w:rPr>
        <w:t xml:space="preserve">ευρώ για την </w:t>
      </w:r>
      <w:proofErr w:type="spellStart"/>
      <w:r w:rsidRPr="004240D1">
        <w:rPr>
          <w:sz w:val="28"/>
          <w:szCs w:val="28"/>
        </w:rPr>
        <w:t>ανακεφαλαιοποίηση</w:t>
      </w:r>
      <w:proofErr w:type="spellEnd"/>
      <w:r w:rsidRPr="004240D1">
        <w:rPr>
          <w:sz w:val="28"/>
          <w:szCs w:val="28"/>
        </w:rPr>
        <w:t xml:space="preserve"> των τραπεζών στην Ελλάδα.</w:t>
      </w:r>
    </w:p>
    <w:p w:rsidR="004633AA" w:rsidRPr="004633AA" w:rsidRDefault="004633AA" w:rsidP="004633AA">
      <w:pPr>
        <w:jc w:val="both"/>
        <w:rPr>
          <w:b/>
          <w:sz w:val="28"/>
          <w:szCs w:val="28"/>
        </w:rPr>
      </w:pPr>
      <w:r w:rsidRPr="004633AA">
        <w:rPr>
          <w:b/>
          <w:sz w:val="28"/>
          <w:szCs w:val="28"/>
        </w:rPr>
        <w:t>Διαχείριση</w:t>
      </w:r>
    </w:p>
    <w:p w:rsidR="004633AA" w:rsidRPr="004633AA" w:rsidRDefault="004633AA" w:rsidP="004633AA">
      <w:pPr>
        <w:jc w:val="both"/>
        <w:rPr>
          <w:sz w:val="28"/>
          <w:szCs w:val="28"/>
        </w:rPr>
      </w:pPr>
      <w:r w:rsidRPr="004633AA">
        <w:rPr>
          <w:sz w:val="28"/>
          <w:szCs w:val="28"/>
        </w:rPr>
        <w:t>Αρχικά τη διοίκηση ανέλαβε το Διοικητικό Συμβούλιο, ενώ στις 30 Ιανουαρίου του 2013, η διοίκηση του ταμείου αναδιοργανώθηκε σε μια δομή διαχείρισης δύο επιπέδων, τα οποία αποτελούνταν από το Γενικό Συμβούλιο και την Εκτελεστική Επιτροπή.</w:t>
      </w:r>
    </w:p>
    <w:p w:rsidR="004633AA" w:rsidRPr="004633AA" w:rsidRDefault="004633AA" w:rsidP="004633AA">
      <w:pPr>
        <w:jc w:val="both"/>
        <w:rPr>
          <w:b/>
          <w:sz w:val="28"/>
          <w:szCs w:val="28"/>
        </w:rPr>
      </w:pPr>
      <w:r w:rsidRPr="004633AA">
        <w:rPr>
          <w:b/>
          <w:sz w:val="28"/>
          <w:szCs w:val="28"/>
        </w:rPr>
        <w:t>Εργασίες</w:t>
      </w:r>
    </w:p>
    <w:p w:rsidR="004633AA" w:rsidRDefault="004633AA" w:rsidP="004633AA">
      <w:pPr>
        <w:jc w:val="both"/>
        <w:rPr>
          <w:sz w:val="28"/>
          <w:szCs w:val="28"/>
        </w:rPr>
      </w:pPr>
      <w:r w:rsidRPr="004633AA">
        <w:rPr>
          <w:sz w:val="28"/>
          <w:szCs w:val="28"/>
        </w:rPr>
        <w:t>Την άνοιξη του 2013, το ΤΧΣ από κοινού με την Τράπεζα της Ελλάδος, οδήγησε στη συγχώνευση των δέκα ελληνικών τραπεζών σε τέσσερις «</w:t>
      </w:r>
      <w:proofErr w:type="spellStart"/>
      <w:r w:rsidRPr="004633AA">
        <w:rPr>
          <w:sz w:val="28"/>
          <w:szCs w:val="28"/>
        </w:rPr>
        <w:t>συστημικές</w:t>
      </w:r>
      <w:proofErr w:type="spellEnd"/>
      <w:r w:rsidRPr="004633AA">
        <w:rPr>
          <w:sz w:val="28"/>
          <w:szCs w:val="28"/>
        </w:rPr>
        <w:t>» τράπεζες.</w:t>
      </w:r>
    </w:p>
    <w:p w:rsidR="0028670C" w:rsidRPr="0028670C" w:rsidRDefault="0028670C" w:rsidP="0028670C">
      <w:pPr>
        <w:jc w:val="both"/>
        <w:rPr>
          <w:b/>
          <w:sz w:val="28"/>
          <w:szCs w:val="28"/>
        </w:rPr>
      </w:pPr>
      <w:r w:rsidRPr="0028670C">
        <w:rPr>
          <w:b/>
          <w:sz w:val="28"/>
          <w:szCs w:val="28"/>
        </w:rPr>
        <w:t>Στρατηγική</w:t>
      </w:r>
    </w:p>
    <w:p w:rsidR="0028670C" w:rsidRPr="0028670C" w:rsidRDefault="0028670C" w:rsidP="0028670C">
      <w:pPr>
        <w:jc w:val="both"/>
        <w:rPr>
          <w:sz w:val="28"/>
          <w:szCs w:val="28"/>
        </w:rPr>
      </w:pPr>
      <w:r w:rsidRPr="0028670C">
        <w:rPr>
          <w:sz w:val="28"/>
          <w:szCs w:val="28"/>
        </w:rPr>
        <w:t xml:space="preserve">Σταθερότητα, ευημερία, κερδοφορία: Αυτοί είναι οι τρεις κεντρικοί πυλώνες του στρατηγικού πλαισίου του ΤΧΣ, με γνώμονα πάντα το δημόσιο συμφέρον.  Το Ταμείο έχοντας ως προτεραιότητα τη στήριξη των Τραπεζών, την κερδοφορία, την προώθηση αναγκαίων αλλαγών, </w:t>
      </w:r>
      <w:r w:rsidRPr="0028670C">
        <w:rPr>
          <w:sz w:val="28"/>
          <w:szCs w:val="28"/>
        </w:rPr>
        <w:lastRenderedPageBreak/>
        <w:t>την επιτάχυνση λύσεων και τη βελτίωση της αποδοτικότητάς τους, παρέχει στις Τράπεζες επαρκή κεφαλαιακή ενίσχυση, διευκολύνει την επιστροφή τους στον ιδιωτικό τομέα και διασφαλίζει την αποτελεσματική εποπτεία για την αντιμετώπιση τυχόν αδυναμιών.</w:t>
      </w:r>
    </w:p>
    <w:p w:rsidR="0028670C" w:rsidRPr="0028670C" w:rsidRDefault="0028670C" w:rsidP="0028670C">
      <w:pPr>
        <w:jc w:val="both"/>
        <w:rPr>
          <w:sz w:val="28"/>
          <w:szCs w:val="28"/>
        </w:rPr>
      </w:pPr>
      <w:r w:rsidRPr="0028670C">
        <w:rPr>
          <w:sz w:val="28"/>
          <w:szCs w:val="28"/>
        </w:rPr>
        <w:t>Ως βασικές δραστηριότητες, το Ταμείο:</w:t>
      </w:r>
    </w:p>
    <w:p w:rsidR="0028670C" w:rsidRPr="0028670C" w:rsidRDefault="0028670C" w:rsidP="0028670C">
      <w:pPr>
        <w:pStyle w:val="a3"/>
        <w:numPr>
          <w:ilvl w:val="0"/>
          <w:numId w:val="1"/>
        </w:numPr>
        <w:jc w:val="both"/>
        <w:rPr>
          <w:sz w:val="28"/>
          <w:szCs w:val="28"/>
        </w:rPr>
      </w:pPr>
      <w:r w:rsidRPr="0028670C">
        <w:rPr>
          <w:sz w:val="28"/>
          <w:szCs w:val="28"/>
        </w:rPr>
        <w:t>Παρέχει κεφαλαιακή υποστήριξη στα πιστωτικά ιδρύματα.</w:t>
      </w:r>
    </w:p>
    <w:p w:rsidR="0028670C" w:rsidRPr="0028670C" w:rsidRDefault="0028670C" w:rsidP="0028670C">
      <w:pPr>
        <w:pStyle w:val="a3"/>
        <w:numPr>
          <w:ilvl w:val="0"/>
          <w:numId w:val="1"/>
        </w:numPr>
        <w:jc w:val="both"/>
        <w:rPr>
          <w:sz w:val="28"/>
          <w:szCs w:val="28"/>
        </w:rPr>
      </w:pPr>
      <w:r w:rsidRPr="0028670C">
        <w:rPr>
          <w:sz w:val="28"/>
          <w:szCs w:val="28"/>
        </w:rPr>
        <w:t>Καθορίζει το πλαίσιο για το σχεδιασμό Επιχειρηματικής Πολιτικής.</w:t>
      </w:r>
    </w:p>
    <w:p w:rsidR="0028670C" w:rsidRPr="0028670C" w:rsidRDefault="0028670C" w:rsidP="0028670C">
      <w:pPr>
        <w:pStyle w:val="a3"/>
        <w:numPr>
          <w:ilvl w:val="0"/>
          <w:numId w:val="1"/>
        </w:numPr>
        <w:jc w:val="both"/>
        <w:rPr>
          <w:sz w:val="28"/>
          <w:szCs w:val="28"/>
        </w:rPr>
      </w:pPr>
      <w:r w:rsidRPr="0028670C">
        <w:rPr>
          <w:sz w:val="28"/>
          <w:szCs w:val="28"/>
        </w:rPr>
        <w:t>Επιβεβαιώνει την τήρηση των βασικών αρχών εταιρικής διακυβέρνησης από τα πιστωτικά ιδρύματα.</w:t>
      </w:r>
    </w:p>
    <w:p w:rsidR="0028670C" w:rsidRPr="0028670C" w:rsidRDefault="0028670C" w:rsidP="0028670C">
      <w:pPr>
        <w:pStyle w:val="a3"/>
        <w:numPr>
          <w:ilvl w:val="0"/>
          <w:numId w:val="1"/>
        </w:numPr>
        <w:jc w:val="both"/>
        <w:rPr>
          <w:sz w:val="28"/>
          <w:szCs w:val="28"/>
        </w:rPr>
      </w:pPr>
      <w:r w:rsidRPr="0028670C">
        <w:rPr>
          <w:sz w:val="28"/>
          <w:szCs w:val="28"/>
        </w:rPr>
        <w:t>Συνεισφέρει στη Διοίκηση των εν λόγω πιστωτικών ιδρυμάτων.</w:t>
      </w:r>
    </w:p>
    <w:p w:rsidR="004633AA" w:rsidRPr="0028670C" w:rsidRDefault="0028670C" w:rsidP="0028670C">
      <w:pPr>
        <w:pStyle w:val="a3"/>
        <w:numPr>
          <w:ilvl w:val="0"/>
          <w:numId w:val="1"/>
        </w:numPr>
        <w:jc w:val="both"/>
      </w:pPr>
      <w:r w:rsidRPr="0028670C">
        <w:rPr>
          <w:sz w:val="28"/>
          <w:szCs w:val="28"/>
        </w:rPr>
        <w:t xml:space="preserve">Ασκεί τα δικαιώματα αρνησικυρίας του, εάν χρειαστεί </w:t>
      </w:r>
      <w:r w:rsidRPr="0028670C">
        <w:t xml:space="preserve">(Αρνησικυρία ονομάζεται τόσο η άρνηση μιας κρατικής αρχής να επικυρώσει νόμο ή απόφαση κάποιας άλλης, έστω κι αν η δεύτερη είναι η καθ' </w:t>
      </w:r>
      <w:proofErr w:type="spellStart"/>
      <w:r w:rsidRPr="0028670C">
        <w:t>ύλην</w:t>
      </w:r>
      <w:proofErr w:type="spellEnd"/>
      <w:r w:rsidRPr="0028670C">
        <w:t xml:space="preserve"> αρμόδια, προκαλώντας επαναδιαπραγμάτευση ή σπανιότερα ακύρωσή του, όσο και το δικαίωμα ή ικανότητα άσκησης αυτής. Ο όρος χρησιμοποιείται επίσης στους περισσότερους διεθνείς οργανισμούς και αναφέρεται στην άρνηση ενός εταίρου να συνυπογράψει απόφαση των συλλογικών οργάνων, με την έννοια άσκησης φραγμού, οδηγώντας έτσι στην ακύρωσή της.</w:t>
      </w:r>
      <w:r>
        <w:t xml:space="preserve"> </w:t>
      </w:r>
      <w:r w:rsidRPr="0028670C">
        <w:t>Συνεπώς πρόκειται για νομική δυνατότητα άσκησης εξουσίας (</w:t>
      </w:r>
      <w:proofErr w:type="spellStart"/>
      <w:r w:rsidRPr="0028670C">
        <w:t>veto</w:t>
      </w:r>
      <w:proofErr w:type="spellEnd"/>
      <w:r w:rsidRPr="0028670C">
        <w:t xml:space="preserve"> </w:t>
      </w:r>
      <w:proofErr w:type="spellStart"/>
      <w:r w:rsidRPr="0028670C">
        <w:t>power</w:t>
      </w:r>
      <w:proofErr w:type="spellEnd"/>
      <w:r w:rsidRPr="0028670C">
        <w:t>) που παρέχεται από το νόμο σε πρόσωπα ή δημόσια όργανα, (οργανισμούς) προς π</w:t>
      </w:r>
      <w:r>
        <w:t>αρεμπόδιση ή αποτροπή ενέργειας).</w:t>
      </w:r>
    </w:p>
    <w:p w:rsidR="00E91979" w:rsidRDefault="00E91979" w:rsidP="00E91979">
      <w:pPr>
        <w:jc w:val="both"/>
        <w:rPr>
          <w:b/>
          <w:sz w:val="28"/>
          <w:szCs w:val="28"/>
          <w:lang w:val="en-US"/>
        </w:rPr>
      </w:pPr>
    </w:p>
    <w:p w:rsidR="00E91979" w:rsidRPr="00E91979" w:rsidRDefault="00E91979" w:rsidP="00E91979">
      <w:pPr>
        <w:jc w:val="both"/>
        <w:rPr>
          <w:b/>
          <w:sz w:val="28"/>
          <w:szCs w:val="28"/>
        </w:rPr>
      </w:pPr>
      <w:r w:rsidRPr="00E91979">
        <w:rPr>
          <w:b/>
          <w:sz w:val="28"/>
          <w:szCs w:val="28"/>
        </w:rPr>
        <w:t>Πρόγραμμα Επενδυτικών Σχέσεων</w:t>
      </w:r>
    </w:p>
    <w:p w:rsidR="00E91979" w:rsidRPr="00E91979" w:rsidRDefault="00E91979" w:rsidP="00E91979">
      <w:pPr>
        <w:jc w:val="both"/>
        <w:rPr>
          <w:sz w:val="28"/>
          <w:szCs w:val="28"/>
        </w:rPr>
      </w:pPr>
      <w:r w:rsidRPr="00E91979">
        <w:rPr>
          <w:sz w:val="28"/>
          <w:szCs w:val="28"/>
        </w:rPr>
        <w:t>Το Πρόγραμμα Επενδυτικών Σχέσεων του ΤΧΣ, στοχεύει στην παροχή διαφανών και συνεκτικών πληροφοριών στην επενδυτική κοινότητα καθώς και σε οργανισμούς και μέσα ενημέρωσης με κατάλληλο, έγκαιρο και δίκαιο τρόπο και σύμφωνα με τους ισχύοντες κανονισμούς.</w:t>
      </w:r>
    </w:p>
    <w:p w:rsidR="00E91979" w:rsidRPr="00E91979" w:rsidRDefault="00E91979" w:rsidP="00E91979">
      <w:pPr>
        <w:jc w:val="both"/>
        <w:rPr>
          <w:sz w:val="28"/>
          <w:szCs w:val="28"/>
        </w:rPr>
      </w:pPr>
      <w:r w:rsidRPr="00E91979">
        <w:rPr>
          <w:sz w:val="28"/>
          <w:szCs w:val="28"/>
        </w:rPr>
        <w:t>Το ΤΧΣ επικοινωνεί με επενδυτές, επενδυτικούς τραπεζίτες, αναλυτές και μέσα ενημέρωσης μέσω των ακόλουθων βασικών προσώπων:</w:t>
      </w:r>
    </w:p>
    <w:p w:rsidR="00E91979" w:rsidRPr="00E91979" w:rsidRDefault="00E91979" w:rsidP="00E91979">
      <w:pPr>
        <w:jc w:val="both"/>
        <w:rPr>
          <w:sz w:val="28"/>
          <w:szCs w:val="28"/>
        </w:rPr>
      </w:pPr>
      <w:r w:rsidRPr="00E91979">
        <w:rPr>
          <w:sz w:val="28"/>
          <w:szCs w:val="28"/>
        </w:rPr>
        <w:t>•</w:t>
      </w:r>
      <w:r w:rsidRPr="00E91979">
        <w:rPr>
          <w:sz w:val="28"/>
          <w:szCs w:val="28"/>
        </w:rPr>
        <w:tab/>
        <w:t>το Διευθύνοντα Σύμβουλο</w:t>
      </w:r>
    </w:p>
    <w:p w:rsidR="00E91979" w:rsidRPr="00E91979" w:rsidRDefault="00E91979" w:rsidP="00E91979">
      <w:pPr>
        <w:jc w:val="both"/>
        <w:rPr>
          <w:sz w:val="28"/>
          <w:szCs w:val="28"/>
        </w:rPr>
      </w:pPr>
      <w:r w:rsidRPr="00E91979">
        <w:rPr>
          <w:sz w:val="28"/>
          <w:szCs w:val="28"/>
        </w:rPr>
        <w:t>•</w:t>
      </w:r>
      <w:r w:rsidRPr="00E91979">
        <w:rPr>
          <w:sz w:val="28"/>
          <w:szCs w:val="28"/>
        </w:rPr>
        <w:tab/>
        <w:t xml:space="preserve">τα </w:t>
      </w:r>
      <w:proofErr w:type="spellStart"/>
      <w:r w:rsidRPr="00E91979">
        <w:rPr>
          <w:sz w:val="28"/>
          <w:szCs w:val="28"/>
        </w:rPr>
        <w:t>Mέλη</w:t>
      </w:r>
      <w:proofErr w:type="spellEnd"/>
      <w:r w:rsidRPr="00E91979">
        <w:rPr>
          <w:sz w:val="28"/>
          <w:szCs w:val="28"/>
        </w:rPr>
        <w:t xml:space="preserve"> της Εκτελεστικής Επιτροπής</w:t>
      </w:r>
    </w:p>
    <w:p w:rsidR="00E91979" w:rsidRPr="00E91979" w:rsidRDefault="00E91979" w:rsidP="00E91979">
      <w:pPr>
        <w:jc w:val="both"/>
        <w:rPr>
          <w:sz w:val="28"/>
          <w:szCs w:val="28"/>
        </w:rPr>
      </w:pPr>
      <w:r w:rsidRPr="00E91979">
        <w:rPr>
          <w:sz w:val="28"/>
          <w:szCs w:val="28"/>
        </w:rPr>
        <w:t>•</w:t>
      </w:r>
      <w:r w:rsidRPr="00E91979">
        <w:rPr>
          <w:sz w:val="28"/>
          <w:szCs w:val="28"/>
        </w:rPr>
        <w:tab/>
        <w:t>τον Πρόεδρο του Γενικού Συμβουλίου</w:t>
      </w:r>
    </w:p>
    <w:p w:rsidR="00E91979" w:rsidRPr="00E91979" w:rsidRDefault="00E91979" w:rsidP="00E91979">
      <w:pPr>
        <w:jc w:val="both"/>
        <w:rPr>
          <w:sz w:val="28"/>
          <w:szCs w:val="28"/>
        </w:rPr>
      </w:pPr>
      <w:r w:rsidRPr="00E91979">
        <w:rPr>
          <w:sz w:val="28"/>
          <w:szCs w:val="28"/>
        </w:rPr>
        <w:lastRenderedPageBreak/>
        <w:t>•</w:t>
      </w:r>
      <w:r w:rsidRPr="00E91979">
        <w:rPr>
          <w:sz w:val="28"/>
          <w:szCs w:val="28"/>
        </w:rPr>
        <w:tab/>
        <w:t>το Διευθυντή Επενδύσεων και Στρατηγικής</w:t>
      </w:r>
    </w:p>
    <w:p w:rsidR="00E91979" w:rsidRPr="00E91979" w:rsidRDefault="00E91979" w:rsidP="00E91979">
      <w:pPr>
        <w:jc w:val="both"/>
        <w:rPr>
          <w:sz w:val="28"/>
          <w:szCs w:val="28"/>
        </w:rPr>
      </w:pPr>
      <w:r w:rsidRPr="00E91979">
        <w:rPr>
          <w:sz w:val="28"/>
          <w:szCs w:val="28"/>
        </w:rPr>
        <w:t>•</w:t>
      </w:r>
      <w:r w:rsidRPr="00E91979">
        <w:rPr>
          <w:sz w:val="28"/>
          <w:szCs w:val="28"/>
        </w:rPr>
        <w:tab/>
        <w:t>τον Υπεύθυνο Επενδυτικών Σχέσεων</w:t>
      </w:r>
    </w:p>
    <w:p w:rsidR="00E91979" w:rsidRPr="00E91979" w:rsidRDefault="00E91979" w:rsidP="00E91979">
      <w:pPr>
        <w:jc w:val="both"/>
        <w:rPr>
          <w:sz w:val="28"/>
          <w:szCs w:val="28"/>
        </w:rPr>
      </w:pPr>
      <w:r w:rsidRPr="00E91979">
        <w:rPr>
          <w:sz w:val="28"/>
          <w:szCs w:val="28"/>
        </w:rPr>
        <w:t>Ο κύριος στόχος της εμπλοκής του ΤΧΣ με τους συμμετέχοντες στην αγορά είναι να εξηγήσει με σαφήνεια την επιχειρησιακή στρατηγική του ΤΧΣ και να απαντήσει σε τυχόν ερωτήσεις σχετικά με τις διαθέσιμες στο κοινό πληροφορίες. Καμία εμπιστευτική πληροφορία δεν κοινοποιείται στους συμμετέχοντες στην αγορά, στις συναντήσεις αυτές. Επιπλέον, όλα τα αιτήματα για συναντήσεις ελέγχονται προκαταρκτικά και αντιμετωπίζονται κατά περίπτωση ανάλογα με το πρόγραμμα και τη διαθεσιμότητα των ανωτέρων εμπλεκομένων.</w:t>
      </w:r>
    </w:p>
    <w:p w:rsidR="0028670C" w:rsidRDefault="0028670C" w:rsidP="006C3E36">
      <w:pPr>
        <w:jc w:val="both"/>
        <w:rPr>
          <w:sz w:val="28"/>
          <w:szCs w:val="28"/>
        </w:rPr>
      </w:pPr>
    </w:p>
    <w:p w:rsidR="00696E86" w:rsidRPr="00696E86" w:rsidRDefault="00696E86" w:rsidP="00696E86">
      <w:pPr>
        <w:jc w:val="both"/>
        <w:rPr>
          <w:b/>
          <w:sz w:val="28"/>
          <w:szCs w:val="28"/>
        </w:rPr>
      </w:pPr>
      <w:r w:rsidRPr="00696E86">
        <w:rPr>
          <w:b/>
          <w:sz w:val="28"/>
          <w:szCs w:val="28"/>
        </w:rPr>
        <w:t xml:space="preserve">Μέτρα προστασίας του ΤΧΣ κατά του </w:t>
      </w:r>
      <w:proofErr w:type="spellStart"/>
      <w:r w:rsidRPr="00696E86">
        <w:rPr>
          <w:b/>
          <w:sz w:val="28"/>
          <w:szCs w:val="28"/>
        </w:rPr>
        <w:t>Covid</w:t>
      </w:r>
      <w:proofErr w:type="spellEnd"/>
      <w:r w:rsidRPr="00696E86">
        <w:rPr>
          <w:b/>
          <w:sz w:val="28"/>
          <w:szCs w:val="28"/>
        </w:rPr>
        <w:t xml:space="preserve"> 19</w:t>
      </w:r>
    </w:p>
    <w:p w:rsidR="00696E86" w:rsidRPr="00696E86" w:rsidRDefault="00696E86" w:rsidP="00696E86">
      <w:pPr>
        <w:jc w:val="both"/>
        <w:rPr>
          <w:sz w:val="28"/>
          <w:szCs w:val="28"/>
        </w:rPr>
      </w:pPr>
    </w:p>
    <w:p w:rsidR="00696E86" w:rsidRPr="00696E86" w:rsidRDefault="00696E86" w:rsidP="00696E86">
      <w:pPr>
        <w:jc w:val="both"/>
        <w:rPr>
          <w:sz w:val="28"/>
          <w:szCs w:val="28"/>
        </w:rPr>
      </w:pPr>
      <w:r w:rsidRPr="00696E86">
        <w:rPr>
          <w:sz w:val="28"/>
          <w:szCs w:val="28"/>
        </w:rPr>
        <w:t>Η ασφάλεια των εργαζομένων και των εμπλεκόμενων μερών του αποτελεί πρωταρχικό μέλημα για το Ταμείο. Ως εκ τούτου, έχει συμμορφωθεί πλήρως με όλες τις υποχρεωτικές ενέργειες, τις οποίες έχει ενσωματώσει στην καθημερινή επιχειρηματική του διαδικασία, οδηγώντας έτσι στη διατήρηση ενός ασφαλέστερου εργασιακού περιβάλλοντος.</w:t>
      </w:r>
    </w:p>
    <w:p w:rsidR="00696E86" w:rsidRPr="00696E86" w:rsidRDefault="00696E86" w:rsidP="00696E86">
      <w:pPr>
        <w:jc w:val="both"/>
        <w:rPr>
          <w:sz w:val="28"/>
          <w:szCs w:val="28"/>
        </w:rPr>
      </w:pPr>
    </w:p>
    <w:p w:rsidR="00696E86" w:rsidRPr="00696E86" w:rsidRDefault="00696E86" w:rsidP="00696E86">
      <w:pPr>
        <w:jc w:val="both"/>
        <w:rPr>
          <w:sz w:val="28"/>
          <w:szCs w:val="28"/>
        </w:rPr>
      </w:pPr>
      <w:r w:rsidRPr="00696E86">
        <w:rPr>
          <w:sz w:val="28"/>
          <w:szCs w:val="28"/>
        </w:rPr>
        <w:t>Στο πλαίσιο αυτό, το Ταμείο υιοθέτησε την εκ περιτροπής Τηλεργασίας από το Σπίτι (</w:t>
      </w:r>
      <w:proofErr w:type="spellStart"/>
      <w:r w:rsidRPr="00696E86">
        <w:rPr>
          <w:sz w:val="28"/>
          <w:szCs w:val="28"/>
        </w:rPr>
        <w:t>Work</w:t>
      </w:r>
      <w:proofErr w:type="spellEnd"/>
      <w:r w:rsidRPr="00696E86">
        <w:rPr>
          <w:sz w:val="28"/>
          <w:szCs w:val="28"/>
        </w:rPr>
        <w:t xml:space="preserve"> </w:t>
      </w:r>
      <w:proofErr w:type="spellStart"/>
      <w:r w:rsidRPr="00696E86">
        <w:rPr>
          <w:sz w:val="28"/>
          <w:szCs w:val="28"/>
        </w:rPr>
        <w:t>from</w:t>
      </w:r>
      <w:proofErr w:type="spellEnd"/>
      <w:r w:rsidRPr="00696E86">
        <w:rPr>
          <w:sz w:val="28"/>
          <w:szCs w:val="28"/>
        </w:rPr>
        <w:t xml:space="preserve"> </w:t>
      </w:r>
      <w:proofErr w:type="spellStart"/>
      <w:r w:rsidRPr="00696E86">
        <w:rPr>
          <w:sz w:val="28"/>
          <w:szCs w:val="28"/>
        </w:rPr>
        <w:t>Home</w:t>
      </w:r>
      <w:proofErr w:type="spellEnd"/>
      <w:r w:rsidRPr="00696E86">
        <w:rPr>
          <w:sz w:val="28"/>
          <w:szCs w:val="28"/>
        </w:rPr>
        <w:t>), παρέχοντας έτσι σε όλους τους εργαζόμενους τη δυνατότητα να εκτελούν τα καθημερινά επαγγελματικά τους καθήκοντα από την ασφάλεια του σπιτιού.</w:t>
      </w:r>
    </w:p>
    <w:p w:rsidR="00696E86" w:rsidRPr="00696E86" w:rsidRDefault="00696E86" w:rsidP="00696E86">
      <w:pPr>
        <w:jc w:val="both"/>
        <w:rPr>
          <w:sz w:val="28"/>
          <w:szCs w:val="28"/>
        </w:rPr>
      </w:pPr>
    </w:p>
    <w:p w:rsidR="00696E86" w:rsidRPr="00696E86" w:rsidRDefault="00696E86" w:rsidP="00696E86">
      <w:pPr>
        <w:jc w:val="both"/>
        <w:rPr>
          <w:sz w:val="28"/>
          <w:szCs w:val="28"/>
        </w:rPr>
      </w:pPr>
      <w:r w:rsidRPr="00696E86">
        <w:rPr>
          <w:sz w:val="28"/>
          <w:szCs w:val="28"/>
        </w:rPr>
        <w:t xml:space="preserve">Επιπλέον, ακολουθείται μια σειρά προληπτικών μέτρων, όπως διαδικτυακές συναντήσεις, υποχρεωτική χρήση μάσκας εντός του εργασιακού χώρου του Ταμείου, εντοιχισμένοι αυτοματοποιημένοι μηχανισμοί αντισηπτικής και αντιβακτηριδιακής προστασίας, περιορισμός στο ελάχιστο των συναντήσεων εργασίας εντός γραφείου, </w:t>
      </w:r>
      <w:r w:rsidRPr="00696E86">
        <w:rPr>
          <w:sz w:val="28"/>
          <w:szCs w:val="28"/>
        </w:rPr>
        <w:lastRenderedPageBreak/>
        <w:t>πρωτόκολλο υγιεινής που περιλαμβάνει καθημερινό αντιβακτηριδιακό καθαρισμό και εβδομαδιαία διεξοδική διαδικασία απολύμανσης.</w:t>
      </w:r>
    </w:p>
    <w:p w:rsidR="00696E86" w:rsidRPr="00696E86" w:rsidRDefault="00696E86" w:rsidP="00696E86">
      <w:pPr>
        <w:jc w:val="both"/>
        <w:rPr>
          <w:sz w:val="28"/>
          <w:szCs w:val="28"/>
        </w:rPr>
      </w:pPr>
      <w:r w:rsidRPr="00696E86">
        <w:rPr>
          <w:sz w:val="28"/>
          <w:szCs w:val="28"/>
        </w:rPr>
        <w:t xml:space="preserve">Το Ταμείο θα συνεχίσει να παρακολουθεί όλες τις εξελίξεις σχετικά με την πανδημία </w:t>
      </w:r>
      <w:proofErr w:type="spellStart"/>
      <w:r w:rsidRPr="00696E86">
        <w:rPr>
          <w:sz w:val="28"/>
          <w:szCs w:val="28"/>
        </w:rPr>
        <w:t>Covid</w:t>
      </w:r>
      <w:proofErr w:type="spellEnd"/>
      <w:r w:rsidRPr="00696E86">
        <w:rPr>
          <w:sz w:val="28"/>
          <w:szCs w:val="28"/>
        </w:rPr>
        <w:t xml:space="preserve"> 19 διασφαλίζοντας με κάθε δυνατό τρόπο την ασφάλεια των εργαζομένων και των εμπλεκόμενων μερών του, με τη λήψη όλων των απαραίτητων μέτρων και προφυλάξεων.</w:t>
      </w:r>
    </w:p>
    <w:p w:rsidR="004633AA" w:rsidRDefault="004633AA"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EC4139" w:rsidRDefault="00EC4139" w:rsidP="00763B75">
      <w:pPr>
        <w:jc w:val="center"/>
        <w:rPr>
          <w:b/>
          <w:sz w:val="28"/>
          <w:szCs w:val="28"/>
        </w:rPr>
      </w:pPr>
    </w:p>
    <w:p w:rsidR="00696E86" w:rsidRDefault="00696E86" w:rsidP="00763B75">
      <w:pPr>
        <w:jc w:val="center"/>
        <w:rPr>
          <w:b/>
          <w:sz w:val="28"/>
          <w:szCs w:val="28"/>
        </w:rPr>
      </w:pPr>
    </w:p>
    <w:p w:rsidR="00696E86" w:rsidRDefault="00696E86" w:rsidP="00763B75">
      <w:pPr>
        <w:jc w:val="center"/>
        <w:rPr>
          <w:b/>
          <w:sz w:val="28"/>
          <w:szCs w:val="28"/>
        </w:rPr>
      </w:pPr>
    </w:p>
    <w:p w:rsidR="00696E86" w:rsidRDefault="00696E86" w:rsidP="00763B75">
      <w:pPr>
        <w:jc w:val="center"/>
        <w:rPr>
          <w:b/>
          <w:sz w:val="28"/>
          <w:szCs w:val="28"/>
        </w:rPr>
      </w:pPr>
    </w:p>
    <w:p w:rsidR="00696E86" w:rsidRDefault="00696E86" w:rsidP="00763B75">
      <w:pPr>
        <w:jc w:val="center"/>
        <w:rPr>
          <w:b/>
          <w:sz w:val="28"/>
          <w:szCs w:val="28"/>
        </w:rPr>
      </w:pPr>
    </w:p>
    <w:p w:rsidR="00E91979" w:rsidRDefault="00E91979" w:rsidP="00763B75">
      <w:pPr>
        <w:jc w:val="center"/>
        <w:rPr>
          <w:b/>
          <w:sz w:val="28"/>
          <w:szCs w:val="28"/>
          <w:lang w:val="en-US"/>
        </w:rPr>
      </w:pPr>
    </w:p>
    <w:p w:rsidR="00763B75" w:rsidRPr="00763B75" w:rsidRDefault="00763B75" w:rsidP="00763B75">
      <w:pPr>
        <w:jc w:val="center"/>
        <w:rPr>
          <w:b/>
          <w:sz w:val="28"/>
          <w:szCs w:val="28"/>
        </w:rPr>
      </w:pPr>
      <w:bookmarkStart w:id="0" w:name="_GoBack"/>
      <w:bookmarkEnd w:id="0"/>
      <w:r w:rsidRPr="00763B75">
        <w:rPr>
          <w:b/>
          <w:sz w:val="28"/>
          <w:szCs w:val="28"/>
        </w:rPr>
        <w:lastRenderedPageBreak/>
        <w:t>Ευρωπαϊκό Ταμείο Χρηματοπιστωτικής Σταθερότητας</w:t>
      </w:r>
    </w:p>
    <w:p w:rsidR="00763B75" w:rsidRDefault="00763B75" w:rsidP="004240D1">
      <w:pPr>
        <w:jc w:val="both"/>
        <w:rPr>
          <w:sz w:val="28"/>
          <w:szCs w:val="28"/>
        </w:rPr>
      </w:pPr>
    </w:p>
    <w:p w:rsidR="004240D1" w:rsidRDefault="004240D1" w:rsidP="004240D1">
      <w:pPr>
        <w:jc w:val="both"/>
        <w:rPr>
          <w:sz w:val="28"/>
          <w:szCs w:val="28"/>
        </w:rPr>
      </w:pPr>
      <w:r w:rsidRPr="004240D1">
        <w:rPr>
          <w:sz w:val="28"/>
          <w:szCs w:val="28"/>
        </w:rPr>
        <w:t xml:space="preserve">Το </w:t>
      </w:r>
      <w:r w:rsidRPr="004240D1">
        <w:rPr>
          <w:b/>
          <w:sz w:val="28"/>
          <w:szCs w:val="28"/>
        </w:rPr>
        <w:t>Ευρωπαϊκό Ταμείο Χρηματοπιστωτικής Σταθερότητας</w:t>
      </w:r>
      <w:r w:rsidRPr="004240D1">
        <w:rPr>
          <w:sz w:val="28"/>
          <w:szCs w:val="28"/>
        </w:rPr>
        <w:t xml:space="preserve"> (</w:t>
      </w:r>
      <w:proofErr w:type="spellStart"/>
      <w:r w:rsidRPr="004240D1">
        <w:rPr>
          <w:sz w:val="28"/>
          <w:szCs w:val="28"/>
        </w:rPr>
        <w:t>European</w:t>
      </w:r>
      <w:proofErr w:type="spellEnd"/>
      <w:r w:rsidRPr="004240D1">
        <w:rPr>
          <w:sz w:val="28"/>
          <w:szCs w:val="28"/>
        </w:rPr>
        <w:t xml:space="preserve"> </w:t>
      </w:r>
      <w:proofErr w:type="spellStart"/>
      <w:r w:rsidRPr="004240D1">
        <w:rPr>
          <w:sz w:val="28"/>
          <w:szCs w:val="28"/>
        </w:rPr>
        <w:t>Financial</w:t>
      </w:r>
      <w:proofErr w:type="spellEnd"/>
      <w:r w:rsidRPr="004240D1">
        <w:rPr>
          <w:sz w:val="28"/>
          <w:szCs w:val="28"/>
        </w:rPr>
        <w:t xml:space="preserve"> </w:t>
      </w:r>
      <w:proofErr w:type="spellStart"/>
      <w:r w:rsidRPr="004240D1">
        <w:rPr>
          <w:sz w:val="28"/>
          <w:szCs w:val="28"/>
        </w:rPr>
        <w:t>Stability</w:t>
      </w:r>
      <w:proofErr w:type="spellEnd"/>
      <w:r w:rsidRPr="004240D1">
        <w:rPr>
          <w:sz w:val="28"/>
          <w:szCs w:val="28"/>
        </w:rPr>
        <w:t xml:space="preserve"> </w:t>
      </w:r>
      <w:proofErr w:type="spellStart"/>
      <w:r w:rsidRPr="004240D1">
        <w:rPr>
          <w:sz w:val="28"/>
          <w:szCs w:val="28"/>
        </w:rPr>
        <w:t>Facility</w:t>
      </w:r>
      <w:proofErr w:type="spellEnd"/>
      <w:r w:rsidRPr="004240D1">
        <w:rPr>
          <w:sz w:val="28"/>
          <w:szCs w:val="28"/>
        </w:rPr>
        <w:t xml:space="preserve"> - EFSF) είναι ένα όργανο ειδικού σκοπού (</w:t>
      </w:r>
      <w:proofErr w:type="spellStart"/>
      <w:r w:rsidRPr="004240D1">
        <w:rPr>
          <w:sz w:val="28"/>
          <w:szCs w:val="28"/>
        </w:rPr>
        <w:t>special</w:t>
      </w:r>
      <w:proofErr w:type="spellEnd"/>
      <w:r w:rsidRPr="004240D1">
        <w:rPr>
          <w:sz w:val="28"/>
          <w:szCs w:val="28"/>
        </w:rPr>
        <w:t xml:space="preserve"> </w:t>
      </w:r>
      <w:proofErr w:type="spellStart"/>
      <w:r w:rsidRPr="004240D1">
        <w:rPr>
          <w:sz w:val="28"/>
          <w:szCs w:val="28"/>
        </w:rPr>
        <w:t>purpose</w:t>
      </w:r>
      <w:proofErr w:type="spellEnd"/>
      <w:r w:rsidRPr="004240D1">
        <w:rPr>
          <w:sz w:val="28"/>
          <w:szCs w:val="28"/>
        </w:rPr>
        <w:t xml:space="preserve"> </w:t>
      </w:r>
      <w:proofErr w:type="spellStart"/>
      <w:r w:rsidRPr="004240D1">
        <w:rPr>
          <w:sz w:val="28"/>
          <w:szCs w:val="28"/>
        </w:rPr>
        <w:t>vehicle</w:t>
      </w:r>
      <w:proofErr w:type="spellEnd"/>
      <w:r w:rsidRPr="004240D1">
        <w:rPr>
          <w:sz w:val="28"/>
          <w:szCs w:val="28"/>
        </w:rPr>
        <w:t xml:space="preserve"> – φορέας ειδικού σκοπού) που συμφωνήθηκε από τα 27 κράτη μέλη της Ευρωπαϊκής Ένωσης στις 9 Μαΐου 2010 με στόχο τη διατήρηση της οικονομικής σταθερότητας στην Ευρώπη με την παροχή οικονομικής βοήθειας προς τα κράτη της ευρωζώνης σε οικονομική δυσκολία.</w:t>
      </w:r>
    </w:p>
    <w:p w:rsidR="004240D1" w:rsidRDefault="004240D1" w:rsidP="004240D1">
      <w:pPr>
        <w:jc w:val="both"/>
        <w:rPr>
          <w:sz w:val="28"/>
          <w:szCs w:val="28"/>
        </w:rPr>
      </w:pPr>
      <w:r w:rsidRPr="004240D1">
        <w:rPr>
          <w:sz w:val="28"/>
          <w:szCs w:val="28"/>
        </w:rPr>
        <w:t>Η επίσημη ημερομηνία ίδρυσής του ήταν η 7η Ιουνίου 2010 ενώ σε πλήρη δράση ξεκίνησε από τις 4 Αυγούστου 2010. Το ταμείο έχει την έδρα του στην πόλη του Λουξεμβούργου.</w:t>
      </w:r>
    </w:p>
    <w:p w:rsidR="004240D1" w:rsidRPr="004240D1" w:rsidRDefault="004240D1" w:rsidP="004240D1">
      <w:pPr>
        <w:jc w:val="both"/>
        <w:rPr>
          <w:sz w:val="28"/>
          <w:szCs w:val="28"/>
        </w:rPr>
      </w:pPr>
      <w:r w:rsidRPr="004240D1">
        <w:rPr>
          <w:sz w:val="28"/>
          <w:szCs w:val="28"/>
        </w:rPr>
        <w:t>Η Ευρωπαϊκή Τράπεζα Επενδύσεων παρέχει σε αυτό υπηρεσίες διαχείρισης διαθεσίμων και διοικητική υποστήριξη μέσω συμβάσεων σε επίπεδο υπηρεσιών.</w:t>
      </w:r>
    </w:p>
    <w:p w:rsidR="006C3E36" w:rsidRDefault="004240D1" w:rsidP="004240D1">
      <w:pPr>
        <w:jc w:val="both"/>
        <w:rPr>
          <w:sz w:val="28"/>
          <w:szCs w:val="28"/>
        </w:rPr>
      </w:pPr>
      <w:proofErr w:type="spellStart"/>
      <w:r w:rsidRPr="004240D1">
        <w:rPr>
          <w:sz w:val="28"/>
          <w:szCs w:val="28"/>
        </w:rPr>
        <w:t>To</w:t>
      </w:r>
      <w:proofErr w:type="spellEnd"/>
      <w:r w:rsidRPr="004240D1">
        <w:rPr>
          <w:sz w:val="28"/>
          <w:szCs w:val="28"/>
        </w:rPr>
        <w:t xml:space="preserve"> EFSF είχε, αρχικά, την μέγιστη πιστοληπτική διαβάθμιση (AAA από την </w:t>
      </w:r>
      <w:proofErr w:type="spellStart"/>
      <w:r w:rsidRPr="004240D1">
        <w:rPr>
          <w:sz w:val="28"/>
          <w:szCs w:val="28"/>
        </w:rPr>
        <w:t>Fitch</w:t>
      </w:r>
      <w:proofErr w:type="spellEnd"/>
      <w:r w:rsidRPr="004240D1">
        <w:rPr>
          <w:sz w:val="28"/>
          <w:szCs w:val="28"/>
        </w:rPr>
        <w:t xml:space="preserve"> </w:t>
      </w:r>
      <w:proofErr w:type="spellStart"/>
      <w:r w:rsidRPr="004240D1">
        <w:rPr>
          <w:sz w:val="28"/>
          <w:szCs w:val="28"/>
        </w:rPr>
        <w:t>Ratings</w:t>
      </w:r>
      <w:proofErr w:type="spellEnd"/>
      <w:r w:rsidRPr="004240D1">
        <w:rPr>
          <w:sz w:val="28"/>
          <w:szCs w:val="28"/>
        </w:rPr>
        <w:t xml:space="preserve"> και την Standard &amp; </w:t>
      </w:r>
      <w:proofErr w:type="spellStart"/>
      <w:r>
        <w:rPr>
          <w:sz w:val="28"/>
          <w:szCs w:val="28"/>
        </w:rPr>
        <w:t>Poor’s</w:t>
      </w:r>
      <w:proofErr w:type="spellEnd"/>
      <w:r>
        <w:rPr>
          <w:sz w:val="28"/>
          <w:szCs w:val="28"/>
        </w:rPr>
        <w:t xml:space="preserve"> και </w:t>
      </w:r>
      <w:proofErr w:type="spellStart"/>
      <w:r>
        <w:rPr>
          <w:sz w:val="28"/>
          <w:szCs w:val="28"/>
        </w:rPr>
        <w:t>Αaa</w:t>
      </w:r>
      <w:proofErr w:type="spellEnd"/>
      <w:r>
        <w:rPr>
          <w:sz w:val="28"/>
          <w:szCs w:val="28"/>
        </w:rPr>
        <w:t xml:space="preserve"> από την </w:t>
      </w:r>
      <w:proofErr w:type="spellStart"/>
      <w:r>
        <w:rPr>
          <w:sz w:val="28"/>
          <w:szCs w:val="28"/>
        </w:rPr>
        <w:t>Moody’s</w:t>
      </w:r>
      <w:proofErr w:type="spellEnd"/>
      <w:r>
        <w:rPr>
          <w:sz w:val="28"/>
          <w:szCs w:val="28"/>
        </w:rPr>
        <w:t>), ενώ σ</w:t>
      </w:r>
      <w:r w:rsidRPr="004240D1">
        <w:rPr>
          <w:sz w:val="28"/>
          <w:szCs w:val="28"/>
        </w:rPr>
        <w:t xml:space="preserve">τις 16 Ιανουαρίου 2012 η Standard &amp; </w:t>
      </w:r>
      <w:proofErr w:type="spellStart"/>
      <w:r w:rsidRPr="004240D1">
        <w:rPr>
          <w:sz w:val="28"/>
          <w:szCs w:val="28"/>
        </w:rPr>
        <w:t>Poor’s</w:t>
      </w:r>
      <w:proofErr w:type="spellEnd"/>
      <w:r w:rsidRPr="004240D1">
        <w:rPr>
          <w:sz w:val="28"/>
          <w:szCs w:val="28"/>
        </w:rPr>
        <w:t xml:space="preserve"> υποβάθμισε την πιστοληπτική του ικανότητα σε AA+.</w:t>
      </w:r>
    </w:p>
    <w:p w:rsidR="00763B75" w:rsidRPr="00763B75" w:rsidRDefault="00763B75" w:rsidP="00763B75">
      <w:pPr>
        <w:jc w:val="both"/>
        <w:rPr>
          <w:b/>
          <w:sz w:val="28"/>
          <w:szCs w:val="28"/>
        </w:rPr>
      </w:pPr>
      <w:r w:rsidRPr="00763B75">
        <w:rPr>
          <w:b/>
          <w:sz w:val="28"/>
          <w:szCs w:val="28"/>
        </w:rPr>
        <w:t>Λειτουργία</w:t>
      </w:r>
    </w:p>
    <w:p w:rsidR="00763B75" w:rsidRDefault="00763B75" w:rsidP="00763B75">
      <w:pPr>
        <w:jc w:val="both"/>
        <w:rPr>
          <w:sz w:val="28"/>
          <w:szCs w:val="28"/>
        </w:rPr>
      </w:pPr>
      <w:r w:rsidRPr="00763B75">
        <w:rPr>
          <w:sz w:val="28"/>
          <w:szCs w:val="28"/>
        </w:rPr>
        <w:t>Ο ευρωπαϊκός μηχανισμός μπορεί να εκδώσει ομόλογα ή άλλα χρεόγραφα στην αγορά με την υποστήριξη του Γερμανικού Γραφείου Διαχείρισης Δημοσίου Χρέους για να αυξήσει τα κεφάλαια που απαιτούνται για την παροχή δανείων προς χώρες της ευρωζώνης με οικονομικά προβλήματα, να προχωρήσει σε αναδιάρθρωση των κεφαλαίων των τραπεζών ή να αγοράσει κρατικά ομόλογα.</w:t>
      </w:r>
    </w:p>
    <w:p w:rsidR="00763B75" w:rsidRPr="00763B75" w:rsidRDefault="00763B75" w:rsidP="00763B75">
      <w:pPr>
        <w:jc w:val="both"/>
        <w:rPr>
          <w:sz w:val="28"/>
          <w:szCs w:val="28"/>
        </w:rPr>
      </w:pPr>
      <w:r w:rsidRPr="00763B75">
        <w:rPr>
          <w:sz w:val="28"/>
          <w:szCs w:val="28"/>
        </w:rPr>
        <w:t>Η έκδοση των ομολόγων θα συνοδεύεται από εγγυήσεις που παρέχονται από τα κράτη μέλη της ευρωζώνης ανάλογα με το μερίδιό τους στο καταβεβλημένο κεφάλαιο της Ευρωπαϊκής Κεντρικής Τράπεζας (ΕΚΤ).</w:t>
      </w:r>
    </w:p>
    <w:p w:rsidR="00763B75" w:rsidRPr="00763B75" w:rsidRDefault="00763B75" w:rsidP="00763B75">
      <w:pPr>
        <w:jc w:val="both"/>
        <w:rPr>
          <w:sz w:val="28"/>
          <w:szCs w:val="28"/>
        </w:rPr>
      </w:pPr>
      <w:r w:rsidRPr="00763B75">
        <w:rPr>
          <w:sz w:val="28"/>
          <w:szCs w:val="28"/>
        </w:rPr>
        <w:lastRenderedPageBreak/>
        <w:t>Το αρχικό πλάνο προέβλεπε πως η διευκόλυνση μπορεί να συνδυαστεί με δάνεια μέχρι και € 60 δισ. από τον Ευρωπαϊκό Μηχανισμό Χρηματοπιστωτικής Σταθεροποίησης (που βασίζεται σε κεφάλαια που αντλήθηκαν από την Ευρωπαϊκή Επιτροπή με τον προϋπολογισμό της ΕΕ ως εγγύηση) και έως € 250 δισ. από το Διεθνές Νομισματικό Ταμείο (ΔΝΤ) για την δημιουργία ενός οικονομικού δίχτυ ασφαλείας μέχρι και € 750.000.000.000.</w:t>
      </w:r>
    </w:p>
    <w:p w:rsidR="00763B75" w:rsidRPr="00763B75" w:rsidRDefault="00763B75" w:rsidP="00763B75">
      <w:pPr>
        <w:jc w:val="both"/>
        <w:rPr>
          <w:sz w:val="28"/>
          <w:szCs w:val="28"/>
        </w:rPr>
      </w:pPr>
      <w:r w:rsidRPr="00763B75">
        <w:rPr>
          <w:sz w:val="28"/>
          <w:szCs w:val="28"/>
        </w:rPr>
        <w:t xml:space="preserve">Μετά τον Ιούνιο του 2013, τόσο το EFSF όσο και ο Ευρωπαϊκός Μηχανισμός Χρηματοπιστωτικής Σταθεροποίησης (EFSM) </w:t>
      </w:r>
      <w:r>
        <w:rPr>
          <w:sz w:val="28"/>
          <w:szCs w:val="28"/>
        </w:rPr>
        <w:t xml:space="preserve">αντικαταστάθηκαν </w:t>
      </w:r>
      <w:r w:rsidRPr="00763B75">
        <w:rPr>
          <w:sz w:val="28"/>
          <w:szCs w:val="28"/>
        </w:rPr>
        <w:t>με τον (μόνιμο) Ευρωπαϊκό Μηχανισμό Σταθερότητας (</w:t>
      </w:r>
      <w:proofErr w:type="spellStart"/>
      <w:r w:rsidRPr="00763B75">
        <w:rPr>
          <w:sz w:val="28"/>
          <w:szCs w:val="28"/>
        </w:rPr>
        <w:t>European</w:t>
      </w:r>
      <w:proofErr w:type="spellEnd"/>
      <w:r w:rsidRPr="00763B75">
        <w:rPr>
          <w:sz w:val="28"/>
          <w:szCs w:val="28"/>
        </w:rPr>
        <w:t xml:space="preserve"> </w:t>
      </w:r>
      <w:proofErr w:type="spellStart"/>
      <w:r w:rsidRPr="00763B75">
        <w:rPr>
          <w:sz w:val="28"/>
          <w:szCs w:val="28"/>
        </w:rPr>
        <w:t>Stability</w:t>
      </w:r>
      <w:proofErr w:type="spellEnd"/>
      <w:r w:rsidRPr="00763B75">
        <w:rPr>
          <w:sz w:val="28"/>
          <w:szCs w:val="28"/>
        </w:rPr>
        <w:t xml:space="preserve"> </w:t>
      </w:r>
      <w:proofErr w:type="spellStart"/>
      <w:r w:rsidRPr="00763B75">
        <w:rPr>
          <w:sz w:val="28"/>
          <w:szCs w:val="28"/>
        </w:rPr>
        <w:t>Mechanism</w:t>
      </w:r>
      <w:proofErr w:type="spellEnd"/>
      <w:r w:rsidRPr="00763B75">
        <w:rPr>
          <w:sz w:val="28"/>
          <w:szCs w:val="28"/>
        </w:rPr>
        <w:t xml:space="preserve"> - ESM).</w:t>
      </w:r>
    </w:p>
    <w:p w:rsidR="00763B75" w:rsidRPr="00763B75" w:rsidRDefault="00763B75" w:rsidP="00763B75">
      <w:pPr>
        <w:jc w:val="both"/>
        <w:rPr>
          <w:b/>
          <w:sz w:val="28"/>
          <w:szCs w:val="28"/>
        </w:rPr>
      </w:pPr>
      <w:r w:rsidRPr="00763B75">
        <w:rPr>
          <w:b/>
          <w:sz w:val="28"/>
          <w:szCs w:val="28"/>
        </w:rPr>
        <w:t>Δανεισμός</w:t>
      </w:r>
    </w:p>
    <w:p w:rsidR="00763B75" w:rsidRPr="00763B75" w:rsidRDefault="00763B75" w:rsidP="00763B75">
      <w:pPr>
        <w:jc w:val="both"/>
        <w:rPr>
          <w:sz w:val="28"/>
          <w:szCs w:val="28"/>
        </w:rPr>
      </w:pPr>
      <w:r w:rsidRPr="00763B75">
        <w:rPr>
          <w:sz w:val="28"/>
          <w:szCs w:val="28"/>
        </w:rPr>
        <w:t xml:space="preserve">Η διευκόλυνση δανεισμού μπορεί να </w:t>
      </w:r>
      <w:r>
        <w:rPr>
          <w:sz w:val="28"/>
          <w:szCs w:val="28"/>
        </w:rPr>
        <w:t xml:space="preserve">γίνει </w:t>
      </w:r>
      <w:r w:rsidRPr="00763B75">
        <w:rPr>
          <w:sz w:val="28"/>
          <w:szCs w:val="28"/>
        </w:rPr>
        <w:t xml:space="preserve">μόνο κατόπιν αιτήματος υποστήριξης από ένα κράτος μέλος της ζώνης του ευρώ και ενώ ένα οικονομικό πρόγραμμα της χώρας έχει προηγουμένως αποτελέσει αντικείμενο διαπραγμάτευσης με την Ευρωπαϊκή Επιτροπή και το ΔΝΤ και έχει γίνει ομόφωνα δεκτό από το </w:t>
      </w:r>
      <w:proofErr w:type="spellStart"/>
      <w:r w:rsidRPr="00763B75">
        <w:rPr>
          <w:sz w:val="28"/>
          <w:szCs w:val="28"/>
        </w:rPr>
        <w:t>Eurogroup</w:t>
      </w:r>
      <w:proofErr w:type="spellEnd"/>
      <w:r w:rsidRPr="00763B75">
        <w:rPr>
          <w:sz w:val="28"/>
          <w:szCs w:val="28"/>
        </w:rPr>
        <w:t xml:space="preserve"> (υπουργοί οικονομικών της ζώνης του ευρώ) ενώ ένα μνημόνιο κατανόησης είναι υπογεγραμμένο. Αυτό </w:t>
      </w:r>
      <w:r>
        <w:rPr>
          <w:sz w:val="28"/>
          <w:szCs w:val="28"/>
        </w:rPr>
        <w:t xml:space="preserve">συμβαίνει </w:t>
      </w:r>
      <w:r w:rsidRPr="00763B75">
        <w:rPr>
          <w:sz w:val="28"/>
          <w:szCs w:val="28"/>
        </w:rPr>
        <w:t>μόνο όταν η χώρα δεν είναι σε θέση να δανειστεί από τις αγορές σε αποδεκτές τιμές.</w:t>
      </w:r>
    </w:p>
    <w:p w:rsidR="00763B75" w:rsidRPr="00763B75" w:rsidRDefault="00763B75" w:rsidP="00763B75">
      <w:pPr>
        <w:jc w:val="both"/>
        <w:rPr>
          <w:sz w:val="28"/>
          <w:szCs w:val="28"/>
        </w:rPr>
      </w:pPr>
      <w:r w:rsidRPr="00763B75">
        <w:rPr>
          <w:sz w:val="28"/>
          <w:szCs w:val="28"/>
        </w:rPr>
        <w:t xml:space="preserve">Αν υπάρχει ένα αίτημα από ένα κράτος μέλος της ζώνης του ευρώ για οικονομική ενίσχυση, </w:t>
      </w:r>
      <w:r>
        <w:rPr>
          <w:sz w:val="28"/>
          <w:szCs w:val="28"/>
        </w:rPr>
        <w:t xml:space="preserve">χρειάζονται </w:t>
      </w:r>
      <w:r w:rsidRPr="00763B75">
        <w:rPr>
          <w:sz w:val="28"/>
          <w:szCs w:val="28"/>
        </w:rPr>
        <w:t xml:space="preserve">τρεις έως τέσσερις εβδομάδες για να εκπονήσει ένα πρόγραμμα στήριξης, συμπεριλαμβανομένης της αποστολής εμπειρογνωμόνων από την Ευρωπαϊκή Επιτροπή, το ΔΝΤ και την ΕΚΤ στη χώρα που αντιμετωπίζει δυσκολίες. Μόλις το </w:t>
      </w:r>
      <w:proofErr w:type="spellStart"/>
      <w:r w:rsidRPr="00763B75">
        <w:rPr>
          <w:sz w:val="28"/>
          <w:szCs w:val="28"/>
        </w:rPr>
        <w:t>Eurogroup</w:t>
      </w:r>
      <w:proofErr w:type="spellEnd"/>
      <w:r w:rsidRPr="00763B75">
        <w:rPr>
          <w:sz w:val="28"/>
          <w:szCs w:val="28"/>
        </w:rPr>
        <w:t xml:space="preserve"> εγκρίνει το πρόγραμμα της χώρας, το EFSF θα χρειαστεί κάποιες ημέρες εργασίας για την αύξηση των αναγκαίων πόρων και την εκταμίευση του δανείου.</w:t>
      </w:r>
    </w:p>
    <w:p w:rsidR="00763B75" w:rsidRPr="00763B75" w:rsidRDefault="00763B75" w:rsidP="00763B75">
      <w:pPr>
        <w:jc w:val="both"/>
        <w:rPr>
          <w:b/>
          <w:sz w:val="28"/>
          <w:szCs w:val="28"/>
        </w:rPr>
      </w:pPr>
      <w:r w:rsidRPr="00763B75">
        <w:rPr>
          <w:b/>
          <w:sz w:val="28"/>
          <w:szCs w:val="28"/>
        </w:rPr>
        <w:t>Αποφάσεις Ιουλίου 2011</w:t>
      </w:r>
    </w:p>
    <w:p w:rsidR="00763B75" w:rsidRPr="00763B75" w:rsidRDefault="00763B75" w:rsidP="00763B75">
      <w:pPr>
        <w:jc w:val="both"/>
        <w:rPr>
          <w:sz w:val="28"/>
          <w:szCs w:val="28"/>
        </w:rPr>
      </w:pPr>
      <w:r w:rsidRPr="00763B75">
        <w:rPr>
          <w:sz w:val="28"/>
          <w:szCs w:val="28"/>
        </w:rPr>
        <w:t xml:space="preserve">Μετά την συνέχιση της οικονομικής κρίσης στις χώρες της Νότιας Ευρώπης και την Ιρλανδία και κυρίως την ανάγκη αντιμετώπισης του </w:t>
      </w:r>
      <w:r w:rsidRPr="00763B75">
        <w:rPr>
          <w:sz w:val="28"/>
          <w:szCs w:val="28"/>
        </w:rPr>
        <w:lastRenderedPageBreak/>
        <w:t>προβλήματος χρέους της Ελλάδας, τα κράτη μέλη αποφάσισαν να προχωρήσουν σε αναβάθμιση του ρόλου του ταμείου.</w:t>
      </w:r>
    </w:p>
    <w:p w:rsidR="00763B75" w:rsidRPr="00763B75" w:rsidRDefault="00763B75" w:rsidP="00763B75">
      <w:pPr>
        <w:jc w:val="both"/>
        <w:rPr>
          <w:sz w:val="28"/>
          <w:szCs w:val="28"/>
        </w:rPr>
      </w:pPr>
      <w:r w:rsidRPr="00763B75">
        <w:rPr>
          <w:sz w:val="28"/>
          <w:szCs w:val="28"/>
        </w:rPr>
        <w:t xml:space="preserve">Σύμφωνα με αυτές, το EFSF θα έχει τη δυνατότητα να αγοράζει κρατικά ομόλογα που βρίσκονται σε κυκλοφορία στη δευτερογενή αγορά. Επιπλέον θα μπορεί να ανοίγει «προληπτικές γραμμές πίστωσης» σε κράτη της Ευρωζώνης πριν αυτά αποκλειστούν από τις αγορές, αλλά και να δανείζει χρήματα στις κυβερνήσεις για </w:t>
      </w:r>
      <w:proofErr w:type="spellStart"/>
      <w:r w:rsidRPr="00763B75">
        <w:rPr>
          <w:sz w:val="28"/>
          <w:szCs w:val="28"/>
        </w:rPr>
        <w:t>επανακεφαλαιοποίηση</w:t>
      </w:r>
      <w:proofErr w:type="spellEnd"/>
      <w:r w:rsidRPr="00763B75">
        <w:rPr>
          <w:sz w:val="28"/>
          <w:szCs w:val="28"/>
        </w:rPr>
        <w:t xml:space="preserve"> των τραπεζών.</w:t>
      </w:r>
    </w:p>
    <w:p w:rsidR="00763B75" w:rsidRPr="00763B75" w:rsidRDefault="00763B75" w:rsidP="00763B75">
      <w:pPr>
        <w:jc w:val="both"/>
        <w:rPr>
          <w:sz w:val="28"/>
          <w:szCs w:val="28"/>
        </w:rPr>
      </w:pPr>
      <w:r w:rsidRPr="00763B75">
        <w:rPr>
          <w:sz w:val="28"/>
          <w:szCs w:val="28"/>
        </w:rPr>
        <w:t>Το Διοικητικό Συμβούλιο του Ευρωπαϊκού Ταμείου Χρηματοπιστωτικής Σταθερότητας αποτελείται από υψηλού επιπέδου εκπροσώπους των 19 κρατών μελών της ζώνης του ευρώ. Η Ευρωπαϊκή Επιτροπή και η Ευρωπαϊκή Κεντρική Τράπεζα μπορούν, η κάθε μια, να διορίσουν έναν παρατηρητή στο Διοικητικό Συμβούλιο της EFSF.</w:t>
      </w:r>
    </w:p>
    <w:p w:rsidR="004240D1" w:rsidRPr="004240D1" w:rsidRDefault="00763B75" w:rsidP="006C3E36">
      <w:pPr>
        <w:jc w:val="both"/>
        <w:rPr>
          <w:sz w:val="28"/>
          <w:szCs w:val="28"/>
        </w:rPr>
      </w:pPr>
      <w:r w:rsidRPr="00763B75">
        <w:rPr>
          <w:sz w:val="28"/>
          <w:szCs w:val="28"/>
        </w:rPr>
        <w:t>Παρά το γεγονός ότι δεν υπάρχει συγκεκριμένη υποχρέωση για λογοδοσία προς το Ευρωπαϊκό Κοινοβούλιο, υπάρχει μια στενή σχέση με τις σχετικές επιτροπές στο πλαίσιο της Ευρωπαϊκής Ένωσης.</w:t>
      </w:r>
    </w:p>
    <w:p w:rsidR="004633AA" w:rsidRDefault="004633AA" w:rsidP="006C3E36">
      <w:pPr>
        <w:jc w:val="both"/>
        <w:rPr>
          <w:b/>
          <w:sz w:val="28"/>
          <w:szCs w:val="28"/>
        </w:rPr>
      </w:pPr>
    </w:p>
    <w:p w:rsidR="004633AA" w:rsidRDefault="004633AA" w:rsidP="006C3E36">
      <w:pPr>
        <w:jc w:val="both"/>
        <w:rPr>
          <w:b/>
          <w:sz w:val="28"/>
          <w:szCs w:val="28"/>
        </w:rPr>
      </w:pPr>
    </w:p>
    <w:p w:rsidR="004633AA" w:rsidRDefault="004633AA" w:rsidP="006C3E36">
      <w:pPr>
        <w:jc w:val="both"/>
        <w:rPr>
          <w:b/>
          <w:sz w:val="28"/>
          <w:szCs w:val="28"/>
        </w:rPr>
      </w:pPr>
    </w:p>
    <w:sectPr w:rsidR="004633A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AE" w:rsidRDefault="007D33AE" w:rsidP="0087634E">
      <w:pPr>
        <w:spacing w:after="0" w:line="240" w:lineRule="auto"/>
      </w:pPr>
      <w:r>
        <w:separator/>
      </w:r>
    </w:p>
  </w:endnote>
  <w:endnote w:type="continuationSeparator" w:id="0">
    <w:p w:rsidR="007D33AE" w:rsidRDefault="007D33AE" w:rsidP="0087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4E" w:rsidRDefault="008763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628417"/>
      <w:docPartObj>
        <w:docPartGallery w:val="Page Numbers (Bottom of Page)"/>
        <w:docPartUnique/>
      </w:docPartObj>
    </w:sdtPr>
    <w:sdtEndPr/>
    <w:sdtContent>
      <w:p w:rsidR="0087634E" w:rsidRDefault="0087634E">
        <w:pPr>
          <w:pStyle w:val="a5"/>
          <w:jc w:val="right"/>
        </w:pPr>
        <w:r>
          <w:fldChar w:fldCharType="begin"/>
        </w:r>
        <w:r>
          <w:instrText>PAGE   \* MERGEFORMAT</w:instrText>
        </w:r>
        <w:r>
          <w:fldChar w:fldCharType="separate"/>
        </w:r>
        <w:r w:rsidR="00E91979">
          <w:rPr>
            <w:noProof/>
          </w:rPr>
          <w:t>7</w:t>
        </w:r>
        <w:r>
          <w:fldChar w:fldCharType="end"/>
        </w:r>
      </w:p>
    </w:sdtContent>
  </w:sdt>
  <w:p w:rsidR="0087634E" w:rsidRDefault="008763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4E" w:rsidRDefault="008763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AE" w:rsidRDefault="007D33AE" w:rsidP="0087634E">
      <w:pPr>
        <w:spacing w:after="0" w:line="240" w:lineRule="auto"/>
      </w:pPr>
      <w:r>
        <w:separator/>
      </w:r>
    </w:p>
  </w:footnote>
  <w:footnote w:type="continuationSeparator" w:id="0">
    <w:p w:rsidR="007D33AE" w:rsidRDefault="007D33AE" w:rsidP="00876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4E" w:rsidRDefault="008763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Τίτλος"/>
      <w:id w:val="77738743"/>
      <w:placeholder>
        <w:docPart w:val="4A42784A7C61425D804CE4942F1590F8"/>
      </w:placeholder>
      <w:dataBinding w:prefixMappings="xmlns:ns0='http://schemas.openxmlformats.org/package/2006/metadata/core-properties' xmlns:ns1='http://purl.org/dc/elements/1.1/'" w:xpath="/ns0:coreProperties[1]/ns1:title[1]" w:storeItemID="{6C3C8BC8-F283-45AE-878A-BAB7291924A1}"/>
      <w:text/>
    </w:sdtPr>
    <w:sdtEndPr/>
    <w:sdtContent>
      <w:p w:rsidR="0087634E" w:rsidRDefault="0087634E">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ΤΑΜΕΙΟ ΧΡΗΜΑΤΟΠΙΣΤΩΤΙΚΗΣ ΣΤΑΘΕΡΟΤΗΤΑΣ (ΤΧΣ)</w:t>
        </w:r>
      </w:p>
    </w:sdtContent>
  </w:sdt>
  <w:p w:rsidR="0087634E" w:rsidRDefault="008763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4E" w:rsidRDefault="008763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DD1"/>
    <w:multiLevelType w:val="hybridMultilevel"/>
    <w:tmpl w:val="2892F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FB63ED"/>
    <w:multiLevelType w:val="hybridMultilevel"/>
    <w:tmpl w:val="AE2C5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36"/>
    <w:rsid w:val="000A382D"/>
    <w:rsid w:val="0028670C"/>
    <w:rsid w:val="002B30F3"/>
    <w:rsid w:val="004240D1"/>
    <w:rsid w:val="004633AA"/>
    <w:rsid w:val="00673387"/>
    <w:rsid w:val="00696E86"/>
    <w:rsid w:val="006C3E36"/>
    <w:rsid w:val="00763B75"/>
    <w:rsid w:val="007D33AE"/>
    <w:rsid w:val="007E22A1"/>
    <w:rsid w:val="0087634E"/>
    <w:rsid w:val="00986509"/>
    <w:rsid w:val="00C075B3"/>
    <w:rsid w:val="00E91979"/>
    <w:rsid w:val="00EC41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70C"/>
    <w:pPr>
      <w:ind w:left="720"/>
      <w:contextualSpacing/>
    </w:pPr>
  </w:style>
  <w:style w:type="paragraph" w:styleId="a4">
    <w:name w:val="header"/>
    <w:basedOn w:val="a"/>
    <w:link w:val="Char"/>
    <w:uiPriority w:val="99"/>
    <w:unhideWhenUsed/>
    <w:rsid w:val="0087634E"/>
    <w:pPr>
      <w:tabs>
        <w:tab w:val="center" w:pos="4153"/>
        <w:tab w:val="right" w:pos="8306"/>
      </w:tabs>
      <w:spacing w:after="0" w:line="240" w:lineRule="auto"/>
    </w:pPr>
  </w:style>
  <w:style w:type="character" w:customStyle="1" w:styleId="Char">
    <w:name w:val="Κεφαλίδα Char"/>
    <w:basedOn w:val="a0"/>
    <w:link w:val="a4"/>
    <w:uiPriority w:val="99"/>
    <w:rsid w:val="0087634E"/>
  </w:style>
  <w:style w:type="paragraph" w:styleId="a5">
    <w:name w:val="footer"/>
    <w:basedOn w:val="a"/>
    <w:link w:val="Char0"/>
    <w:uiPriority w:val="99"/>
    <w:unhideWhenUsed/>
    <w:rsid w:val="0087634E"/>
    <w:pPr>
      <w:tabs>
        <w:tab w:val="center" w:pos="4153"/>
        <w:tab w:val="right" w:pos="8306"/>
      </w:tabs>
      <w:spacing w:after="0" w:line="240" w:lineRule="auto"/>
    </w:pPr>
  </w:style>
  <w:style w:type="character" w:customStyle="1" w:styleId="Char0">
    <w:name w:val="Υποσέλιδο Char"/>
    <w:basedOn w:val="a0"/>
    <w:link w:val="a5"/>
    <w:uiPriority w:val="99"/>
    <w:rsid w:val="0087634E"/>
  </w:style>
  <w:style w:type="paragraph" w:styleId="a6">
    <w:name w:val="Balloon Text"/>
    <w:basedOn w:val="a"/>
    <w:link w:val="Char1"/>
    <w:uiPriority w:val="99"/>
    <w:semiHidden/>
    <w:unhideWhenUsed/>
    <w:rsid w:val="0087634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76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70C"/>
    <w:pPr>
      <w:ind w:left="720"/>
      <w:contextualSpacing/>
    </w:pPr>
  </w:style>
  <w:style w:type="paragraph" w:styleId="a4">
    <w:name w:val="header"/>
    <w:basedOn w:val="a"/>
    <w:link w:val="Char"/>
    <w:uiPriority w:val="99"/>
    <w:unhideWhenUsed/>
    <w:rsid w:val="0087634E"/>
    <w:pPr>
      <w:tabs>
        <w:tab w:val="center" w:pos="4153"/>
        <w:tab w:val="right" w:pos="8306"/>
      </w:tabs>
      <w:spacing w:after="0" w:line="240" w:lineRule="auto"/>
    </w:pPr>
  </w:style>
  <w:style w:type="character" w:customStyle="1" w:styleId="Char">
    <w:name w:val="Κεφαλίδα Char"/>
    <w:basedOn w:val="a0"/>
    <w:link w:val="a4"/>
    <w:uiPriority w:val="99"/>
    <w:rsid w:val="0087634E"/>
  </w:style>
  <w:style w:type="paragraph" w:styleId="a5">
    <w:name w:val="footer"/>
    <w:basedOn w:val="a"/>
    <w:link w:val="Char0"/>
    <w:uiPriority w:val="99"/>
    <w:unhideWhenUsed/>
    <w:rsid w:val="0087634E"/>
    <w:pPr>
      <w:tabs>
        <w:tab w:val="center" w:pos="4153"/>
        <w:tab w:val="right" w:pos="8306"/>
      </w:tabs>
      <w:spacing w:after="0" w:line="240" w:lineRule="auto"/>
    </w:pPr>
  </w:style>
  <w:style w:type="character" w:customStyle="1" w:styleId="Char0">
    <w:name w:val="Υποσέλιδο Char"/>
    <w:basedOn w:val="a0"/>
    <w:link w:val="a5"/>
    <w:uiPriority w:val="99"/>
    <w:rsid w:val="0087634E"/>
  </w:style>
  <w:style w:type="paragraph" w:styleId="a6">
    <w:name w:val="Balloon Text"/>
    <w:basedOn w:val="a"/>
    <w:link w:val="Char1"/>
    <w:uiPriority w:val="99"/>
    <w:semiHidden/>
    <w:unhideWhenUsed/>
    <w:rsid w:val="0087634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76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42784A7C61425D804CE4942F1590F8"/>
        <w:category>
          <w:name w:val="Γενικά"/>
          <w:gallery w:val="placeholder"/>
        </w:category>
        <w:types>
          <w:type w:val="bbPlcHdr"/>
        </w:types>
        <w:behaviors>
          <w:behavior w:val="content"/>
        </w:behaviors>
        <w:guid w:val="{D84C0A98-1735-4C72-BC79-A1A2D71C889B}"/>
      </w:docPartPr>
      <w:docPartBody>
        <w:p w:rsidR="00F53CDA" w:rsidRDefault="001D35E6" w:rsidP="001D35E6">
          <w:pPr>
            <w:pStyle w:val="4A42784A7C61425D804CE4942F1590F8"/>
          </w:pPr>
          <w:r>
            <w:rPr>
              <w:rFonts w:asciiTheme="majorHAnsi" w:eastAsiaTheme="majorEastAsia" w:hAnsiTheme="majorHAnsi" w:cstheme="majorBidi"/>
              <w:sz w:val="32"/>
              <w:szCs w:val="32"/>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E6"/>
    <w:rsid w:val="001D35E6"/>
    <w:rsid w:val="003C301C"/>
    <w:rsid w:val="00A468D4"/>
    <w:rsid w:val="00F53C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42784A7C61425D804CE4942F1590F8">
    <w:name w:val="4A42784A7C61425D804CE4942F1590F8"/>
    <w:rsid w:val="001D35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42784A7C61425D804CE4942F1590F8">
    <w:name w:val="4A42784A7C61425D804CE4942F1590F8"/>
    <w:rsid w:val="001D3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1462</Words>
  <Characters>7897</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ΤΑΜΕΙΟ ΧΡΗΜΑΤΟΠΙΣΤΩΤΙΚΗΣ ΣΤΑΘΕΡΟΤΗΤΑΣ (ΤΧΣ)</dc:title>
  <dc:creator>user</dc:creator>
  <cp:lastModifiedBy>user</cp:lastModifiedBy>
  <cp:revision>14</cp:revision>
  <dcterms:created xsi:type="dcterms:W3CDTF">2021-03-07T10:09:00Z</dcterms:created>
  <dcterms:modified xsi:type="dcterms:W3CDTF">2021-03-07T10:35:00Z</dcterms:modified>
</cp:coreProperties>
</file>