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F4AC"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p>
    <w:p w14:paraId="3FC83F27"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p>
    <w:p w14:paraId="002B9EC0"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p>
    <w:p w14:paraId="3562CB6C" w14:textId="37004D1E"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r>
        <w:rPr>
          <w:rFonts w:ascii="Times New Roman" w:eastAsia="Times New Roman" w:hAnsi="Times New Roman"/>
          <w:b/>
          <w:color w:val="1C1C1C"/>
          <w:szCs w:val="24"/>
          <w:lang w:val="el-GR" w:eastAsia="en-US"/>
        </w:rPr>
        <w:t>Λεωνίδας Οικονόμου</w:t>
      </w:r>
    </w:p>
    <w:p w14:paraId="2A22D078"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p>
    <w:p w14:paraId="14A44418"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bookmarkStart w:id="0" w:name="_GoBack"/>
      <w:bookmarkEnd w:id="0"/>
    </w:p>
    <w:p w14:paraId="0630BBC7" w14:textId="7DF20877" w:rsidR="004B6936" w:rsidRDefault="007D4F60" w:rsidP="004B6936">
      <w:pPr>
        <w:spacing w:line="360" w:lineRule="auto"/>
        <w:ind w:firstLine="720"/>
        <w:jc w:val="center"/>
        <w:rPr>
          <w:rFonts w:ascii="Times New Roman" w:eastAsia="Times New Roman" w:hAnsi="Times New Roman"/>
          <w:b/>
          <w:color w:val="1C1C1C"/>
          <w:szCs w:val="24"/>
          <w:lang w:val="el-GR" w:eastAsia="en-US"/>
        </w:rPr>
      </w:pPr>
      <w:r>
        <w:rPr>
          <w:rFonts w:ascii="Times New Roman" w:eastAsia="Times New Roman" w:hAnsi="Times New Roman"/>
          <w:b/>
          <w:color w:val="1C1C1C"/>
          <w:szCs w:val="24"/>
          <w:lang w:val="el-GR" w:eastAsia="en-US"/>
        </w:rPr>
        <w:t>ΟΙ ΣΟΥΜΕΡΙΑΚΕΣ ΠΟΛΕΙΣ</w:t>
      </w:r>
    </w:p>
    <w:p w14:paraId="2475EE97" w14:textId="77777777" w:rsidR="007D4F60" w:rsidRDefault="007D4F60" w:rsidP="004B6936">
      <w:pPr>
        <w:spacing w:line="360" w:lineRule="auto"/>
        <w:ind w:firstLine="720"/>
        <w:jc w:val="center"/>
        <w:rPr>
          <w:rFonts w:ascii="Times New Roman" w:eastAsia="Times New Roman" w:hAnsi="Times New Roman"/>
          <w:b/>
          <w:color w:val="1C1C1C"/>
          <w:szCs w:val="24"/>
          <w:lang w:val="el-GR" w:eastAsia="en-US"/>
        </w:rPr>
      </w:pPr>
    </w:p>
    <w:p w14:paraId="5B4ECB3B" w14:textId="77777777" w:rsidR="007D4F60" w:rsidRPr="00743E73" w:rsidRDefault="007D4F60" w:rsidP="004B6936">
      <w:pPr>
        <w:spacing w:line="360" w:lineRule="auto"/>
        <w:ind w:firstLine="720"/>
        <w:jc w:val="center"/>
        <w:rPr>
          <w:rFonts w:ascii="Times New Roman" w:eastAsia="Times New Roman" w:hAnsi="Times New Roman"/>
          <w:b/>
          <w:color w:val="1C1C1C"/>
          <w:szCs w:val="24"/>
          <w:lang w:val="el-GR" w:eastAsia="en-US"/>
        </w:rPr>
      </w:pPr>
    </w:p>
    <w:p w14:paraId="16A06C28" w14:textId="77777777" w:rsidR="004B6936" w:rsidRDefault="004B6936" w:rsidP="004B6936">
      <w:pPr>
        <w:spacing w:line="360" w:lineRule="auto"/>
        <w:jc w:val="both"/>
        <w:rPr>
          <w:rFonts w:ascii="Times New Roman" w:eastAsia="Times New Roman" w:hAnsi="Times New Roman"/>
          <w:color w:val="1C1C1C"/>
          <w:szCs w:val="24"/>
          <w:lang w:val="el-GR" w:eastAsia="en-US"/>
        </w:rPr>
      </w:pPr>
    </w:p>
    <w:p w14:paraId="2361EA1D" w14:textId="77777777" w:rsidR="004B6936" w:rsidRPr="00027ADD" w:rsidRDefault="004B6936" w:rsidP="004B6936">
      <w:pPr>
        <w:spacing w:line="360" w:lineRule="auto"/>
        <w:jc w:val="both"/>
        <w:rPr>
          <w:rFonts w:ascii="Times New Roman" w:hAnsi="Times New Roman"/>
          <w:szCs w:val="24"/>
        </w:rPr>
      </w:pPr>
      <w:r w:rsidRPr="00027ADD">
        <w:rPr>
          <w:rFonts w:ascii="Times New Roman" w:hAnsi="Times New Roman"/>
          <w:szCs w:val="24"/>
        </w:rPr>
        <w:t xml:space="preserve">Οι πόλεις κράτη των Σουμερίων θεωρούνται από τους περισσότερους ειδικούς οι αρχαιότερες πόλεις του κόσμου (Smith 2002, Maisel 1993).  Η σκιαγράφηση της δημιουργίας και της εξέλιξης των Σουμεριακών πόλεων, που επιχειρούμε παρακάτω βασίζεται σε ανθρωπολογικά ενημερωμένες προσεγγίσεις (Southall 2000, Smith 2002, Soja 2000, Wheatly 1971, Adams 1966) και εικονογραφεί την γενική προσέγγιση που εκθέτουμε στο κείμενο “Η πόλη στο χώρο και το χρόνο”.   </w:t>
      </w:r>
    </w:p>
    <w:p w14:paraId="7E5F1B1F"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Στην εύφορη κοιλάδα του Ευφράτη και του Τίγρη από το 6000 π.X. δημιουργούνται εδραίες αγροτικές κοινότητες, που χρησιμοποιούν νέες τεχνικές (άροτρο, συστήματα άρδευσης) και επιτυγχάνουν υψηλή παραγωγικότητα στη γεωργία.  Οι συνοικισμοί σταδιακά πολλαπλασιάζονται και δημιουργούνται υψηλές πυκνότητες πληθυσμού.  Οι κοινότητες αυτές θα πρέπει να ήταν αρχικά εξισωτικές (ακέφαλο πολιτικό σύστημα βασισμένο στις ομάδες καταγωγής) και να είχαν μόνο τελετουργικούς ηγέτες χωρίς καταναγκαστική πολιτική εξουσία.  Σταδιακά ορισμένες κοινότητες συγκεντρώνουν αρκετό πληθυσμό, οι βωμοί τους μεγαλώνουν και μετατρέπονται σε τεμένη, που ασκούν επιρροή σε μια ευρύτερη περιφέρεια.  Παράλληλα, οι θρησκευτικοί τους ηγέτες επιτελούν πιο συγκεκριμένες λειτουργίες, μετατρέπονται σε ιερούς βασιλείς και αποκτούν μια μικρή ακολουθία που τους συνδράμει στα καθήκοντά τους.  </w:t>
      </w:r>
    </w:p>
    <w:p w14:paraId="21A06422"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Στη διάρκεια των αιώνων οι συνοικισμοί αυτοί μεγαλώνουν κι άλλο, η παραγωγικότητά τους αυξάνεται, οι εμπορικές ανταλλαγές με γειτονικές και πιο μακρινές κοινότητες πολλαπλασιάζονται, και η πολιτική τους οργάνωση αρχίζει να γίνεται πιο συγκεντρωτική.  Η Ουρούκ, η πρώτη περίοδος της οποίας χρονολογείται από το 3600-3100 π.Χ., θεωρείται συχνά η παλαιότερη πόλη του κόσμου.  Από την περίοδο αυτή έχουν βρεθεί στην ευρύτερη περιοχή ερείπια και άλλων πόλεων του </w:t>
      </w:r>
      <w:r w:rsidRPr="00027ADD">
        <w:rPr>
          <w:rFonts w:ascii="Times New Roman" w:hAnsi="Times New Roman"/>
          <w:szCs w:val="24"/>
        </w:rPr>
        <w:lastRenderedPageBreak/>
        <w:t xml:space="preserve">ίδιου πολιτισμού (Ουμπαίντ, Εριντού, Ουρ).  Οι πόλεις δεν είχαν τείχη και φαίνεται ότι συμβιούσαν ειρηνικά.  Τα αρχαιολογικά ευρύματα δείχνουν την χωρική επέκταση του τεμένους, τις ανταλλαγές με άλλες περιοχές, την επινόηση συστημάτων γραφής και αρίθμησης και άλλα τεχνολογικά επιτεύγματα, που περιλαμβάνουν εξελιγμένη μεταλλουργία και αγγειοπλαστική, τον τροχό, το ζωήλατο κάρο, το ιστιοφόρο πλοίο, το ηλιακό ημερολόγιο, και στην αρχιτεκτονική: τον κίονα, το τόξο, το θόλο και τον τρούλο.  Ο Southall (2000) περιγράφει τις Σουμεριακές πόλεις αυτής της περιόδου ως μια πρωτόλεια μορφή κράτους (segmental state: κατατμημένο κράτος) στα πλαίσια του οποίου οι ομάδες καταγωγής διατηρούν σημαντική αυτονομία.  Το τέμενος αποκτά νέες λειτουργίες, αλλά η εξουσία του παραμένει τελετουργική.  Οι ιερείς επιλύουν τις διαφορές ανάμεσα σε διαφορετικές κοινότητες ή συγγενικές ομάδες, διαχειρίζονται ένα μεγάλο όγκο προσφορών και αναθημάτων και ασκούν διευθυντικό ρόλο σε ορισμένες όψεις της κοινωνικής ζωής.  Μέσα κυρίως από την τελετουργία, το τέμενος αποτελούσε το θεμέλιο του παραγωγικού συστήματος, καθώς δεν ήταν μονάχα η πηγή των εποχών και της γονιμότητας, αλλά συντόνιζε την αγροτική παραγωγή, δίνοντας λεπτομερείς, θεϊκά επικυρωμένες οδηγίες και υποδείξεις.  Οι έμποροι που ενεργούσαν ως αντιπρόσωποι του τεμένους διέπλεαν το ίδιο διάστημα τα ποτάμια φθάνοντας μέχρι τον Περσικό κόλπο. </w:t>
      </w:r>
    </w:p>
    <w:p w14:paraId="212E272C"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Μεταξύ 3000-2500 π.Χ. ο ρυθμός της αλλαγής επιταχύνεται.  Η πόλη-κράτος του Ουρούκ κατάφερε, με την πειθώ ή με τη βία, να συγκεντρώσει το μεγαλύτερο μέρος του πληθυμού της γύρω περιοχής και να επιβάλλει την κυριαρχία της σε μερικές μικρότερες γειτονικές πόλεις.   Ο πληθυσμός έφθασε τις 40.000-50.000 κατοίκους και η πόλη οχυρώθηκε με τείχη.  Τα μεγάλα αρδευτικά κανάλια χρονολογούνται από την περίοδο αυτή, που η πόλη επιβάλλει την κυριαρχία της σε μια ευρύτερη περιφέρεια και μέσα από το τέμενος οργανώνει την παραγωγή και αποσπά το πλεόνασμα της.  Το τέμενος επεκτείνεται ακόμα περισσότερο και ενσωματώνει πλέον έναν υψηλό βαθμό εξειδίκευσης.  Δημιουργείται ένα ειδικό σώμα στρατιωτών εφοδιασμένων με ισχυρά μέσα άσκησης βίας (όπλα) για τις ανάγκες της άμυνας και της διατήρησης της τάξης.  Εμφανίζονται επίσης πιο καθαρά πολιτικές και οικονομικές εξειδικεύσεις.  Το τέμενος παρέμεινε ένας σύνθετος, πολυ-λειτουργικός θεσμός, με τη δική του ξεχωριστή ηγεσία, οργάνωση και προσωπικό, αλλά σιγά σιγά διαχωρίστηκε από τη διοίκηση των κρατικών υποθέσεων που αναλήφθηκε από ειδικούς κρατικούς αξιωματούχους, με πολλούς βοηθούς και υπηρέτες.  Ο ανώτατος ιερέας ή ιέρεια διαχωρίστηκε από τον ιερό βασιλέα, που παρέμεινε κυρίαρχος τόσο στο θρησκευτικό όσο και στο κοσμικό επίπεδο, ενσαρκώνοντας τις υψηλότερες αξίες της κοινωνίας και ταυτιζόμενος με τους ίδιους τους θεούς.  </w:t>
      </w:r>
    </w:p>
    <w:p w14:paraId="02A18D05"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Οι Σουμεριακές πόλεις αυτής της περιόδου θεωρούνται οι πρώτες πραγματικές πόλεις-κράτη της ιστορίας (Soja 2000, Smith 2002).  Η εξουσία του βασιλιά γίνεται πιο κοσμική και δημιουργείται μια άρχουσα τάξη, που αποτελείται από τη βασιλική συγγενειακή ομάδα και ένα στρώμα πολιτικών, οικονομικών και θρησκευτικών αξιωματούχων.  Ο βασιλιάς (που όταν πέθαινε θάβονταν μαζί με τις γυναίκες, τους αξιωματούχους και του υπηρέτες του παλατιού) και η ηγέτιδα τάξη μετατρέπουν τις παραδοσιακές τελετουργικές προσφορές σε υποχρεωτική εισφορά (tribute), γίνονται κάτοχοι μεγάλων παραγωγικών αγροκτημάτων που καλλιεργούνται από εξαρτημένους αγρότες, οργανώνουν επικερδή εμπορικά δίκτυα και ελέγχουν την βιοτεχνική και καλλιτεχνική παραγωγή (στην οποία συμμετέχουν πολλοί σκλάβοι και υποχρεωτικά στρατολογημένοι εργάτες).  Οι πατρογραμμικές ομάδες καταγωγής κατέχουν την υπόλοιπη γη και η ανεξαρτησία τους πιθανόν μεγαλώνει όσο απομακρυνόμαστε από το κέντρο της κρατικής επικράτειας. Μαζί με το κράτος παγιώνεται και η πατριαρχία, αν και οι γυναίκες διατηρούσαν σημαντική ελευθερία και μπορούσαν να διαχειρίζονται αγροκτήματα και να γίνονται ιέρειες και καλλιτέχνιδες (Soja 2000, </w:t>
      </w:r>
      <w:r w:rsidRPr="00027ADD">
        <w:rPr>
          <w:rFonts w:ascii="Times New Roman" w:hAnsi="Times New Roman"/>
          <w:szCs w:val="24"/>
          <w:lang w:val="el-GR"/>
        </w:rPr>
        <w:t>Southall 2000)</w:t>
      </w:r>
      <w:r w:rsidRPr="00027ADD">
        <w:rPr>
          <w:rFonts w:ascii="Times New Roman" w:hAnsi="Times New Roman"/>
          <w:szCs w:val="24"/>
        </w:rPr>
        <w:t xml:space="preserve">.  </w:t>
      </w:r>
    </w:p>
    <w:p w14:paraId="0AAB979E"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Οι Σουμεριακές πόλεις της τρίτης χιλιετίας περιβάλλονταν από τείχος, ήταν σχεδόν κυκλικές (αν και η μεγαλύτερη έλξη του άξονα Βορά Νότου, που ήταν ιερός στην Σουμεριακή κοσμολογία, τους έδινε ένα οβάλ ή αυγοειδές σχήμα) και στο κέντρο τους είχε διαμορφωθεί μια μνημειακή περιοχή στην οποία δέσποζαν τα ζιγκουράτ: τεράστια ορθογωνικά τεμένη που επιβάλλονταν με τον όγκο και το ύψος τους (Soja 2000).  Το ζιγκουράτ συμβόλιζε το κέντρο του κόσμου και θεωρούνταν η πηγή κάθε δύναμης και δημιουργίας και η γέφυρα που συνδέει τους ανθρώπους με τους θεούς.  Γύρω από το τέμενος υπήρχαν άλλοι μικρότεροι βωμοί και κτίρια και σε μικρή απόσταση το παλάτι και άλλα κρατικά κτίρια.  Ολόκληρη αυτή η περιοχή διαχωριζόταν υλικά και συμβολικά από την υπόλοιπη πόλη και διαμορφωνόταν ένας πυρήνας ιερότητας, δύναμης, εξουσίας, καλλιτεχνικής και διανοητικής δημιουργίας, πλούτου και εκπαίδευσης. </w:t>
      </w:r>
    </w:p>
    <w:p w14:paraId="73E42E9D" w14:textId="77777777" w:rsidR="004B6936" w:rsidRPr="00027ADD" w:rsidRDefault="004B6936" w:rsidP="004B6936">
      <w:pPr>
        <w:spacing w:line="360" w:lineRule="auto"/>
        <w:ind w:firstLine="720"/>
        <w:jc w:val="both"/>
        <w:rPr>
          <w:rFonts w:ascii="Times New Roman" w:hAnsi="Times New Roman"/>
          <w:szCs w:val="24"/>
        </w:rPr>
      </w:pPr>
      <w:r w:rsidRPr="00027ADD">
        <w:rPr>
          <w:rFonts w:ascii="Times New Roman" w:hAnsi="Times New Roman"/>
          <w:szCs w:val="24"/>
        </w:rPr>
        <w:t xml:space="preserve">Οι Σουμέριοι υπήρξαν πρωτοπόροι και εφευρετικοί σε πολλές όψεις του υλικού, πνευματικού και κοινωνικού πολιτισμού και η επιρροή τους διατηρήθηκε πολύ μετά από την εξαφάνιση της γλώσσας και των πόλεών τους.  Η παρακμή του πολιτισμού των Σουμερίων αποδίδεται από τους ιστορικούς στις συγκρούσεις που ξέσπασαν ανάμεσα στις πόλεις-κράτη καθώς σταδιακά αυξήθηκε ο ανταγωνισμός για πόρους και κυριαρχία.  Μερικές πόλεις και μερικοί ηγεμόνες απόκτησαν σημαντική δύναμη και έχουν καταγραφεί δύο απόπειρες ιμπεριαλιστικής επέκτασης και η δημιουργία δύο σύντομων και ασταθών “αυτοκρατοριών”, που ένωναν κάτω από μία πόλη και μία δυναστεία έναν μεγάλο αριθμό άλλων πόλεων κρατών. </w:t>
      </w:r>
    </w:p>
    <w:p w14:paraId="13DD1FEF" w14:textId="77777777" w:rsidR="0086620B" w:rsidRDefault="0086620B"/>
    <w:p w14:paraId="251ED58A" w14:textId="77777777" w:rsidR="00027ADD" w:rsidRDefault="00027ADD"/>
    <w:p w14:paraId="2AF2CE13" w14:textId="77777777" w:rsidR="004B6936" w:rsidRPr="004B6936" w:rsidRDefault="004B6936">
      <w:pPr>
        <w:rPr>
          <w:rFonts w:ascii="Times New Roman" w:hAnsi="Times New Roman"/>
          <w:b/>
        </w:rPr>
      </w:pPr>
      <w:r w:rsidRPr="004B6936">
        <w:rPr>
          <w:rFonts w:ascii="Times New Roman" w:hAnsi="Times New Roman"/>
          <w:b/>
        </w:rPr>
        <w:t>Βιβλιογραφικές Παραπομπές</w:t>
      </w:r>
    </w:p>
    <w:p w14:paraId="3FD8788F" w14:textId="77777777" w:rsidR="004B6936" w:rsidRDefault="004B6936"/>
    <w:p w14:paraId="6E95CEA1" w14:textId="77777777" w:rsidR="004B6936" w:rsidRDefault="004B6936" w:rsidP="004B6936">
      <w:pPr>
        <w:jc w:val="both"/>
        <w:rPr>
          <w:rFonts w:ascii="Times New Roman" w:eastAsia="Times New Roman" w:hAnsi="Times New Roman"/>
          <w:color w:val="1C1C1C"/>
          <w:szCs w:val="24"/>
          <w:lang w:eastAsia="en-US"/>
        </w:rPr>
      </w:pPr>
      <w:r>
        <w:rPr>
          <w:rFonts w:ascii="Times New Roman" w:eastAsia="Times New Roman" w:hAnsi="Times New Roman"/>
          <w:color w:val="1C1C1C"/>
          <w:szCs w:val="24"/>
          <w:lang w:eastAsia="en-US"/>
        </w:rPr>
        <w:t>Adams, Robert McC., 1966,</w:t>
      </w:r>
      <w:r w:rsidRPr="00B91FE1">
        <w:rPr>
          <w:rFonts w:ascii="Times New Roman" w:eastAsia="Times New Roman" w:hAnsi="Times New Roman"/>
          <w:color w:val="1C1C1C"/>
          <w:szCs w:val="24"/>
          <w:lang w:eastAsia="en-US"/>
        </w:rPr>
        <w:t xml:space="preserve"> </w:t>
      </w:r>
      <w:r w:rsidRPr="008F4763">
        <w:rPr>
          <w:rFonts w:ascii="Times New Roman" w:eastAsia="Times New Roman" w:hAnsi="Times New Roman"/>
          <w:i/>
          <w:color w:val="1C1C1C"/>
          <w:szCs w:val="24"/>
          <w:lang w:eastAsia="en-US"/>
        </w:rPr>
        <w:t>The Evolution of Urban Society: Early Mesopotamia and Prehispanic Mexico</w:t>
      </w:r>
      <w:r w:rsidRPr="00B91FE1">
        <w:rPr>
          <w:rFonts w:ascii="Times New Roman" w:eastAsia="Times New Roman" w:hAnsi="Times New Roman"/>
          <w:color w:val="1C1C1C"/>
          <w:szCs w:val="24"/>
          <w:lang w:eastAsia="en-US"/>
        </w:rPr>
        <w:t>. Aldine, Chicago.</w:t>
      </w:r>
    </w:p>
    <w:p w14:paraId="0424D7AD" w14:textId="77777777" w:rsidR="004B6936" w:rsidRDefault="004B6936" w:rsidP="004B6936">
      <w:pPr>
        <w:jc w:val="both"/>
        <w:rPr>
          <w:rFonts w:ascii="Times" w:hAnsi="Times"/>
          <w:szCs w:val="24"/>
        </w:rPr>
      </w:pPr>
    </w:p>
    <w:p w14:paraId="1472AB97" w14:textId="77777777" w:rsidR="004B6936" w:rsidRPr="00B91FE1" w:rsidRDefault="004B6936" w:rsidP="004B6936">
      <w:pPr>
        <w:jc w:val="both"/>
        <w:rPr>
          <w:rFonts w:ascii="Times" w:hAnsi="Times"/>
          <w:szCs w:val="24"/>
        </w:rPr>
      </w:pPr>
      <w:r w:rsidRPr="00B91FE1">
        <w:rPr>
          <w:rFonts w:ascii="Times" w:hAnsi="Times"/>
          <w:szCs w:val="24"/>
        </w:rPr>
        <w:t>Maisel, C. K.</w:t>
      </w:r>
      <w:r>
        <w:rPr>
          <w:rFonts w:ascii="Times" w:hAnsi="Times"/>
          <w:szCs w:val="24"/>
        </w:rPr>
        <w:t>,</w:t>
      </w:r>
      <w:r w:rsidRPr="00B91FE1">
        <w:rPr>
          <w:rFonts w:ascii="Times" w:hAnsi="Times"/>
          <w:szCs w:val="24"/>
        </w:rPr>
        <w:t xml:space="preserve"> 1993, </w:t>
      </w:r>
      <w:r w:rsidRPr="00B91FE1">
        <w:rPr>
          <w:rFonts w:ascii="Times" w:hAnsi="Times"/>
          <w:i/>
          <w:szCs w:val="24"/>
        </w:rPr>
        <w:t>The Emergence of Civilization: From Hunting and Gathering to Agrculture, Cities and the State in the Near East</w:t>
      </w:r>
      <w:r w:rsidRPr="00B91FE1">
        <w:rPr>
          <w:rFonts w:ascii="Times" w:hAnsi="Times"/>
          <w:szCs w:val="24"/>
        </w:rPr>
        <w:t>, London and New York: Routledge</w:t>
      </w:r>
    </w:p>
    <w:p w14:paraId="0E2D8BFC" w14:textId="77777777" w:rsidR="004B6936" w:rsidRDefault="004B6936"/>
    <w:p w14:paraId="04600B02" w14:textId="77777777" w:rsidR="004B6936" w:rsidRPr="00B91FE1" w:rsidRDefault="004B6936" w:rsidP="004B6936">
      <w:pPr>
        <w:pStyle w:val="FootnoteText"/>
        <w:rPr>
          <w:rFonts w:ascii="Times New Roman" w:hAnsi="Times New Roman"/>
          <w:sz w:val="24"/>
          <w:szCs w:val="24"/>
        </w:rPr>
      </w:pPr>
      <w:r w:rsidRPr="00B91FE1">
        <w:rPr>
          <w:rFonts w:ascii="Times New Roman" w:hAnsi="Times New Roman"/>
          <w:sz w:val="24"/>
          <w:szCs w:val="24"/>
        </w:rPr>
        <w:t xml:space="preserve">Smith, Michael E., 2002, “The earliest cities”, στο George Gmelch και Walter P. Zenner, </w:t>
      </w:r>
      <w:r w:rsidRPr="00B91FE1">
        <w:rPr>
          <w:rFonts w:ascii="Times New Roman" w:hAnsi="Times New Roman"/>
          <w:i/>
          <w:sz w:val="24"/>
          <w:szCs w:val="24"/>
        </w:rPr>
        <w:t xml:space="preserve">Urban Life. Reagings in the Anthropology of the City, </w:t>
      </w:r>
      <w:r w:rsidRPr="00B91FE1">
        <w:rPr>
          <w:rFonts w:ascii="Times New Roman" w:hAnsi="Times New Roman"/>
          <w:sz w:val="24"/>
          <w:szCs w:val="24"/>
        </w:rPr>
        <w:t>Prospect Heights Ill.: Waveland Press</w:t>
      </w:r>
      <w:r>
        <w:rPr>
          <w:rFonts w:ascii="Times New Roman" w:hAnsi="Times New Roman"/>
          <w:sz w:val="24"/>
          <w:szCs w:val="24"/>
        </w:rPr>
        <w:t xml:space="preserve">, </w:t>
      </w:r>
      <w:r>
        <w:rPr>
          <w:rFonts w:ascii="Times New Roman" w:hAnsi="Times New Roman"/>
          <w:sz w:val="24"/>
          <w:szCs w:val="24"/>
          <w:lang w:val="el-GR"/>
        </w:rPr>
        <w:t>σσ. 3-19</w:t>
      </w:r>
      <w:r w:rsidRPr="00B91FE1">
        <w:rPr>
          <w:rFonts w:ascii="Times New Roman" w:hAnsi="Times New Roman"/>
          <w:sz w:val="24"/>
          <w:szCs w:val="24"/>
        </w:rPr>
        <w:t xml:space="preserve">. </w:t>
      </w:r>
    </w:p>
    <w:p w14:paraId="7392F1A3" w14:textId="77777777" w:rsidR="004B6936" w:rsidRDefault="004B6936"/>
    <w:p w14:paraId="674CF6F8" w14:textId="77777777" w:rsidR="004B6936" w:rsidRPr="00B91FE1" w:rsidRDefault="004B6936" w:rsidP="004B6936">
      <w:pPr>
        <w:pStyle w:val="FootnoteText"/>
        <w:jc w:val="both"/>
        <w:rPr>
          <w:rFonts w:ascii="Times New Roman" w:hAnsi="Times New Roman"/>
          <w:sz w:val="24"/>
          <w:szCs w:val="24"/>
        </w:rPr>
      </w:pPr>
      <w:r w:rsidRPr="00B91FE1">
        <w:rPr>
          <w:rFonts w:ascii="Times New Roman" w:hAnsi="Times New Roman"/>
          <w:sz w:val="24"/>
          <w:szCs w:val="24"/>
        </w:rPr>
        <w:t xml:space="preserve">Soja, E. W., 2000, </w:t>
      </w:r>
      <w:r w:rsidRPr="00B91FE1">
        <w:rPr>
          <w:rFonts w:ascii="Times New Roman" w:hAnsi="Times New Roman"/>
          <w:i/>
          <w:sz w:val="24"/>
          <w:szCs w:val="24"/>
        </w:rPr>
        <w:t>Postmetropolis. Critical Studies of Cities and Regions,</w:t>
      </w:r>
      <w:r w:rsidRPr="00B91FE1">
        <w:rPr>
          <w:rFonts w:ascii="Times New Roman" w:hAnsi="Times New Roman"/>
          <w:sz w:val="24"/>
          <w:szCs w:val="24"/>
        </w:rPr>
        <w:t xml:space="preserve"> Oxford: Blackwell Publishers.</w:t>
      </w:r>
    </w:p>
    <w:p w14:paraId="0EAB7292" w14:textId="77777777" w:rsidR="004B6936" w:rsidRDefault="004B6936"/>
    <w:p w14:paraId="625702C9" w14:textId="77777777" w:rsidR="004B6936" w:rsidRPr="00B91FE1" w:rsidRDefault="004B6936" w:rsidP="004B6936">
      <w:pPr>
        <w:jc w:val="both"/>
        <w:rPr>
          <w:rFonts w:ascii="Times New Roman" w:hAnsi="Times New Roman"/>
          <w:szCs w:val="24"/>
        </w:rPr>
      </w:pPr>
      <w:r w:rsidRPr="00B91FE1">
        <w:rPr>
          <w:rFonts w:ascii="Times New Roman" w:hAnsi="Times New Roman"/>
          <w:szCs w:val="24"/>
        </w:rPr>
        <w:t xml:space="preserve">Southall, Aidan, 2000, </w:t>
      </w:r>
      <w:r w:rsidRPr="00B91FE1">
        <w:rPr>
          <w:rFonts w:ascii="Times New Roman" w:hAnsi="Times New Roman"/>
          <w:i/>
          <w:szCs w:val="24"/>
        </w:rPr>
        <w:t>The City in Time and Space,</w:t>
      </w:r>
      <w:r w:rsidRPr="00B91FE1">
        <w:rPr>
          <w:rFonts w:ascii="Times New Roman" w:hAnsi="Times New Roman"/>
          <w:szCs w:val="24"/>
        </w:rPr>
        <w:t xml:space="preserve"> Cambridge: Cambridge University Press</w:t>
      </w:r>
    </w:p>
    <w:p w14:paraId="3F12B841" w14:textId="77777777" w:rsidR="004B6936" w:rsidRDefault="004B6936"/>
    <w:p w14:paraId="4C336A48" w14:textId="77777777" w:rsidR="004B6936" w:rsidRPr="00B91FE1" w:rsidRDefault="004B6936" w:rsidP="004B6936">
      <w:pPr>
        <w:jc w:val="both"/>
        <w:rPr>
          <w:rFonts w:ascii="Times New Roman" w:hAnsi="Times New Roman"/>
          <w:szCs w:val="24"/>
        </w:rPr>
      </w:pPr>
      <w:r w:rsidRPr="00B91FE1">
        <w:rPr>
          <w:rFonts w:ascii="Times New Roman" w:hAnsi="Times New Roman"/>
          <w:szCs w:val="24"/>
        </w:rPr>
        <w:t xml:space="preserve">Wheatley, Paul, 1971, </w:t>
      </w:r>
      <w:r w:rsidRPr="00B91FE1">
        <w:rPr>
          <w:rFonts w:ascii="Times New Roman" w:hAnsi="Times New Roman"/>
          <w:i/>
          <w:szCs w:val="24"/>
        </w:rPr>
        <w:t>The Pivot of the Four Quarters</w:t>
      </w:r>
      <w:r w:rsidRPr="00B91FE1">
        <w:rPr>
          <w:rFonts w:ascii="Times New Roman" w:hAnsi="Times New Roman"/>
          <w:szCs w:val="24"/>
        </w:rPr>
        <w:t>, Edinburgh: Edinburgh University Press.</w:t>
      </w:r>
    </w:p>
    <w:p w14:paraId="6B812FBC" w14:textId="77777777" w:rsidR="004B6936" w:rsidRDefault="004B6936"/>
    <w:sectPr w:rsidR="004B6936" w:rsidSect="007219D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1FA9" w14:textId="77777777" w:rsidR="00027ADD" w:rsidRDefault="00027ADD" w:rsidP="00027ADD">
      <w:r>
        <w:separator/>
      </w:r>
    </w:p>
  </w:endnote>
  <w:endnote w:type="continuationSeparator" w:id="0">
    <w:p w14:paraId="01506CBD" w14:textId="77777777" w:rsidR="00027ADD" w:rsidRDefault="00027ADD" w:rsidP="0002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Μοντέρνα">
    <w:altName w:val="Times New Roman"/>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CA5CF" w14:textId="77777777" w:rsidR="00027ADD" w:rsidRDefault="00027ADD" w:rsidP="00AA7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1AC08" w14:textId="77777777" w:rsidR="00027ADD" w:rsidRDefault="00027ADD" w:rsidP="00027A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4DA8" w14:textId="77777777" w:rsidR="00027ADD" w:rsidRDefault="00027ADD" w:rsidP="00AA7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F60">
      <w:rPr>
        <w:rStyle w:val="PageNumber"/>
        <w:noProof/>
      </w:rPr>
      <w:t>1</w:t>
    </w:r>
    <w:r>
      <w:rPr>
        <w:rStyle w:val="PageNumber"/>
      </w:rPr>
      <w:fldChar w:fldCharType="end"/>
    </w:r>
  </w:p>
  <w:p w14:paraId="2A7FEBF1" w14:textId="77777777" w:rsidR="00027ADD" w:rsidRDefault="00027ADD" w:rsidP="00027A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1287F" w14:textId="77777777" w:rsidR="00027ADD" w:rsidRDefault="00027ADD" w:rsidP="00027ADD">
      <w:r>
        <w:separator/>
      </w:r>
    </w:p>
  </w:footnote>
  <w:footnote w:type="continuationSeparator" w:id="0">
    <w:p w14:paraId="474FEBF1" w14:textId="77777777" w:rsidR="00027ADD" w:rsidRDefault="00027ADD" w:rsidP="00027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36"/>
    <w:rsid w:val="00027ADD"/>
    <w:rsid w:val="004B6936"/>
    <w:rsid w:val="007219DE"/>
    <w:rsid w:val="007D4F60"/>
    <w:rsid w:val="00866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724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36"/>
    <w:rPr>
      <w:rFonts w:ascii="Geneva" w:eastAsia="Geneva" w:hAnsi="Geneva"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6936"/>
    <w:rPr>
      <w:rFonts w:ascii="Μοντέρνα" w:eastAsia="Μοντέρνα" w:hAnsi="Μοντέρνα"/>
      <w:sz w:val="20"/>
    </w:rPr>
  </w:style>
  <w:style w:type="character" w:customStyle="1" w:styleId="FootnoteTextChar">
    <w:name w:val="Footnote Text Char"/>
    <w:basedOn w:val="DefaultParagraphFont"/>
    <w:link w:val="FootnoteText"/>
    <w:rsid w:val="004B6936"/>
    <w:rPr>
      <w:rFonts w:ascii="Μοντέρνα" w:eastAsia="Μοντέρνα" w:hAnsi="Μοντέρνα" w:cs="Times New Roman"/>
      <w:sz w:val="20"/>
      <w:szCs w:val="20"/>
      <w:lang w:eastAsia="el-GR"/>
    </w:rPr>
  </w:style>
  <w:style w:type="paragraph" w:styleId="Footer">
    <w:name w:val="footer"/>
    <w:basedOn w:val="Normal"/>
    <w:link w:val="FooterChar"/>
    <w:uiPriority w:val="99"/>
    <w:unhideWhenUsed/>
    <w:rsid w:val="00027ADD"/>
    <w:pPr>
      <w:tabs>
        <w:tab w:val="center" w:pos="4153"/>
        <w:tab w:val="right" w:pos="8306"/>
      </w:tabs>
    </w:pPr>
  </w:style>
  <w:style w:type="character" w:customStyle="1" w:styleId="FooterChar">
    <w:name w:val="Footer Char"/>
    <w:basedOn w:val="DefaultParagraphFont"/>
    <w:link w:val="Footer"/>
    <w:uiPriority w:val="99"/>
    <w:rsid w:val="00027ADD"/>
    <w:rPr>
      <w:rFonts w:ascii="Geneva" w:eastAsia="Geneva" w:hAnsi="Geneva" w:cs="Times New Roman"/>
      <w:szCs w:val="20"/>
      <w:lang w:eastAsia="el-GR"/>
    </w:rPr>
  </w:style>
  <w:style w:type="character" w:styleId="PageNumber">
    <w:name w:val="page number"/>
    <w:basedOn w:val="DefaultParagraphFont"/>
    <w:uiPriority w:val="99"/>
    <w:semiHidden/>
    <w:unhideWhenUsed/>
    <w:rsid w:val="00027A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36"/>
    <w:rPr>
      <w:rFonts w:ascii="Geneva" w:eastAsia="Geneva" w:hAnsi="Geneva"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6936"/>
    <w:rPr>
      <w:rFonts w:ascii="Μοντέρνα" w:eastAsia="Μοντέρνα" w:hAnsi="Μοντέρνα"/>
      <w:sz w:val="20"/>
    </w:rPr>
  </w:style>
  <w:style w:type="character" w:customStyle="1" w:styleId="FootnoteTextChar">
    <w:name w:val="Footnote Text Char"/>
    <w:basedOn w:val="DefaultParagraphFont"/>
    <w:link w:val="FootnoteText"/>
    <w:rsid w:val="004B6936"/>
    <w:rPr>
      <w:rFonts w:ascii="Μοντέρνα" w:eastAsia="Μοντέρνα" w:hAnsi="Μοντέρνα" w:cs="Times New Roman"/>
      <w:sz w:val="20"/>
      <w:szCs w:val="20"/>
      <w:lang w:eastAsia="el-GR"/>
    </w:rPr>
  </w:style>
  <w:style w:type="paragraph" w:styleId="Footer">
    <w:name w:val="footer"/>
    <w:basedOn w:val="Normal"/>
    <w:link w:val="FooterChar"/>
    <w:uiPriority w:val="99"/>
    <w:unhideWhenUsed/>
    <w:rsid w:val="00027ADD"/>
    <w:pPr>
      <w:tabs>
        <w:tab w:val="center" w:pos="4153"/>
        <w:tab w:val="right" w:pos="8306"/>
      </w:tabs>
    </w:pPr>
  </w:style>
  <w:style w:type="character" w:customStyle="1" w:styleId="FooterChar">
    <w:name w:val="Footer Char"/>
    <w:basedOn w:val="DefaultParagraphFont"/>
    <w:link w:val="Footer"/>
    <w:uiPriority w:val="99"/>
    <w:rsid w:val="00027ADD"/>
    <w:rPr>
      <w:rFonts w:ascii="Geneva" w:eastAsia="Geneva" w:hAnsi="Geneva" w:cs="Times New Roman"/>
      <w:szCs w:val="20"/>
      <w:lang w:eastAsia="el-GR"/>
    </w:rPr>
  </w:style>
  <w:style w:type="character" w:styleId="PageNumber">
    <w:name w:val="page number"/>
    <w:basedOn w:val="DefaultParagraphFont"/>
    <w:uiPriority w:val="99"/>
    <w:semiHidden/>
    <w:unhideWhenUsed/>
    <w:rsid w:val="0002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6888</Characters>
  <Application>Microsoft Macintosh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3</cp:revision>
  <dcterms:created xsi:type="dcterms:W3CDTF">2021-11-15T21:25:00Z</dcterms:created>
  <dcterms:modified xsi:type="dcterms:W3CDTF">2021-11-15T21:35:00Z</dcterms:modified>
</cp:coreProperties>
</file>